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7D08FB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70DC5" w:rsidRPr="00A0716F" w:rsidRDefault="00E70DC5" w:rsidP="00E70DC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06052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060525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E70DC5" w:rsidRPr="00A0716F" w:rsidRDefault="00E70DC5" w:rsidP="00E70DC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>
                                    <w:rPr>
                                      <w:szCs w:val="28"/>
                                    </w:rPr>
                                    <w:t>: BA, Communication</w:t>
                                  </w:r>
                                </w:p>
                                <w:p w:rsidR="00E70DC5" w:rsidRDefault="00E70DC5" w:rsidP="00E70DC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Concentration: Corporate Communication </w:t>
                                  </w:r>
                                </w:p>
                                <w:p w:rsidR="00E14260" w:rsidRDefault="00E70DC5" w:rsidP="00E70DC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Track: Public Relations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8769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5002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8769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5002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70DC5" w:rsidRPr="00A0716F" w:rsidRDefault="00E70DC5" w:rsidP="00E70DC5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06052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060525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E70DC5" w:rsidRPr="00A0716F" w:rsidRDefault="00E70DC5" w:rsidP="00E70DC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>
                              <w:rPr>
                                <w:szCs w:val="28"/>
                              </w:rPr>
                              <w:t>: BA, Communication</w:t>
                            </w:r>
                          </w:p>
                          <w:p w:rsidR="00E70DC5" w:rsidRDefault="00E70DC5" w:rsidP="00E70DC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Concentration: Corporate Communication </w:t>
                            </w:r>
                          </w:p>
                          <w:p w:rsidR="00E14260" w:rsidRDefault="00E70DC5" w:rsidP="00E70DC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Track: Public Relations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8769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002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8769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002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880"/>
        <w:gridCol w:w="1715"/>
      </w:tblGrid>
      <w:tr w:rsidR="00BD787A" w:rsidTr="00060525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88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1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70DC5" w:rsidTr="00060525">
        <w:tc>
          <w:tcPr>
            <w:tcW w:w="4050" w:type="dxa"/>
          </w:tcPr>
          <w:p w:rsidR="00E70DC5" w:rsidRPr="00E67D37" w:rsidRDefault="00E70DC5" w:rsidP="00E70D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DC5" w:rsidRPr="00E67D37" w:rsidRDefault="003851CD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880" w:type="dxa"/>
            <w:vAlign w:val="center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15" w:type="dxa"/>
            <w:vAlign w:val="center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060525">
        <w:tc>
          <w:tcPr>
            <w:tcW w:w="4050" w:type="dxa"/>
          </w:tcPr>
          <w:p w:rsidR="003851CD" w:rsidRPr="00E67D37" w:rsidRDefault="003851CD" w:rsidP="003851C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880" w:type="dxa"/>
            <w:vAlign w:val="center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190E8D">
        <w:tc>
          <w:tcPr>
            <w:tcW w:w="4050" w:type="dxa"/>
          </w:tcPr>
          <w:p w:rsidR="00AF742B" w:rsidRPr="00194BA6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</w:tcPr>
          <w:p w:rsidR="00AF742B" w:rsidRPr="00194BA6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AF742B" w:rsidRPr="00194BA6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E67D37" w:rsidRDefault="00AF742B" w:rsidP="00AF74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vAlign w:val="center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E67D37" w:rsidRDefault="00AF742B" w:rsidP="00AF74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Electives: ROAR 1199 recommended</w:t>
            </w:r>
          </w:p>
        </w:tc>
        <w:tc>
          <w:tcPr>
            <w:tcW w:w="45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  <w:shd w:val="clear" w:color="auto" w:fill="F2F2F2" w:themeFill="background1" w:themeFillShade="F2"/>
          </w:tcPr>
          <w:p w:rsidR="00AF742B" w:rsidRDefault="00AF742B" w:rsidP="00AF742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F742B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F742B" w:rsidTr="00060525">
        <w:tc>
          <w:tcPr>
            <w:tcW w:w="4050" w:type="dxa"/>
          </w:tcPr>
          <w:p w:rsidR="00AF742B" w:rsidRPr="00194BA6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880" w:type="dxa"/>
          </w:tcPr>
          <w:p w:rsidR="00AF742B" w:rsidRPr="00700B07" w:rsidRDefault="00AF742B" w:rsidP="00AF742B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715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194BA6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880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194BA6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880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194BA6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194BA6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  <w:shd w:val="clear" w:color="auto" w:fill="F2F2F2" w:themeFill="background1" w:themeFillShade="F2"/>
          </w:tcPr>
          <w:p w:rsidR="00AF742B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F742B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F742B" w:rsidTr="00060525">
        <w:tc>
          <w:tcPr>
            <w:tcW w:w="4050" w:type="dxa"/>
          </w:tcPr>
          <w:p w:rsidR="00AF742B" w:rsidRPr="00194BA6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</w:tcPr>
          <w:p w:rsidR="00AF742B" w:rsidRPr="00194BA6" w:rsidRDefault="00AF742B" w:rsidP="00AF742B">
            <w:pPr>
              <w:pStyle w:val="NoSpacing"/>
              <w:rPr>
                <w:sz w:val="16"/>
                <w:szCs w:val="16"/>
              </w:rPr>
            </w:pPr>
            <w:r w:rsidRPr="00060525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15" w:type="dxa"/>
          </w:tcPr>
          <w:p w:rsidR="00AF742B" w:rsidRPr="00194BA6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AF742B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F742B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880" w:type="dxa"/>
          </w:tcPr>
          <w:p w:rsidR="00AF742B" w:rsidRPr="00060525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AF742B" w:rsidRPr="00194BA6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rPr>
          <w:trHeight w:val="110"/>
        </w:trPr>
        <w:tc>
          <w:tcPr>
            <w:tcW w:w="4050" w:type="dxa"/>
          </w:tcPr>
          <w:p w:rsidR="00AF742B" w:rsidRPr="00194BA6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450" w:type="dxa"/>
            <w:vAlign w:val="center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</w:tcPr>
          <w:p w:rsidR="00AF742B" w:rsidRPr="00194BA6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AF742B" w:rsidRPr="00194BA6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194BA6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2241 Intro to Public Relations</w:t>
            </w:r>
          </w:p>
        </w:tc>
        <w:tc>
          <w:tcPr>
            <w:tcW w:w="450" w:type="dxa"/>
            <w:vAlign w:val="center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AF742B" w:rsidRPr="00194BA6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AF742B" w:rsidRPr="00194BA6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AF742B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F742B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F742B" w:rsidRPr="00194BA6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AF742B" w:rsidRPr="00194BA6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  <w:shd w:val="clear" w:color="auto" w:fill="F2F2F2" w:themeFill="background1" w:themeFillShade="F2"/>
          </w:tcPr>
          <w:p w:rsidR="00AF742B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F742B" w:rsidRPr="00194BA6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AF742B" w:rsidRPr="00194BA6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AF742B" w:rsidRPr="00194BA6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AF742B" w:rsidRPr="00194BA6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F742B" w:rsidTr="00060525">
        <w:tc>
          <w:tcPr>
            <w:tcW w:w="4050" w:type="dxa"/>
          </w:tcPr>
          <w:p w:rsidR="00AF742B" w:rsidRPr="00292C65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</w:tcPr>
          <w:p w:rsidR="00AF742B" w:rsidRPr="00D42DE8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</w:tcPr>
          <w:p w:rsidR="00AF742B" w:rsidRPr="00D42DE8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292C65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</w:tcPr>
          <w:p w:rsidR="00AF742B" w:rsidRPr="00D42DE8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</w:tcPr>
          <w:p w:rsidR="00AF742B" w:rsidRPr="00D42DE8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292C65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</w:tcPr>
          <w:p w:rsidR="00AF742B" w:rsidRPr="00D42DE8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</w:tcPr>
          <w:p w:rsidR="00AF742B" w:rsidRPr="00D42DE8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292C65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450" w:type="dxa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</w:tcPr>
          <w:p w:rsidR="00AF742B" w:rsidRPr="00D42DE8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</w:tcPr>
          <w:p w:rsidR="00AF742B" w:rsidRPr="00D42DE8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292C65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F742B" w:rsidRPr="00D42DE8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</w:tcPr>
          <w:p w:rsidR="00AF742B" w:rsidRPr="00D42DE8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060525">
        <w:tc>
          <w:tcPr>
            <w:tcW w:w="4050" w:type="dxa"/>
            <w:shd w:val="clear" w:color="auto" w:fill="F2F2F2" w:themeFill="background1" w:themeFillShade="F2"/>
          </w:tcPr>
          <w:p w:rsidR="00AF742B" w:rsidRPr="00292C65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F742B" w:rsidRPr="00292C65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AF742B" w:rsidRPr="00D42DE8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AF742B" w:rsidRPr="00D42DE8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AF742B" w:rsidRPr="00292C65" w:rsidRDefault="00AF742B" w:rsidP="00AF7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F742B" w:rsidTr="00060525">
        <w:tc>
          <w:tcPr>
            <w:tcW w:w="4050" w:type="dxa"/>
            <w:shd w:val="clear" w:color="auto" w:fill="FFFFFF" w:themeFill="background1"/>
            <w:vAlign w:val="bottom"/>
          </w:tcPr>
          <w:p w:rsidR="00AF742B" w:rsidRPr="00BA2629" w:rsidRDefault="00AF742B" w:rsidP="00AF74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 5</w:t>
            </w:r>
          </w:p>
        </w:tc>
        <w:tc>
          <w:tcPr>
            <w:tcW w:w="450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AF742B" w:rsidRPr="00194BA6" w:rsidRDefault="00AF742B" w:rsidP="00AF742B">
            <w:pPr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  <w:shd w:val="clear" w:color="auto" w:fill="FFFFFF" w:themeFill="background1"/>
            <w:vAlign w:val="bottom"/>
          </w:tcPr>
          <w:p w:rsidR="00AF742B" w:rsidRPr="00BA2629" w:rsidRDefault="00AF742B" w:rsidP="00AF74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3307 Social and Interactive Media Campaigns 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80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  <w:vAlign w:val="bottom"/>
          </w:tcPr>
          <w:p w:rsidR="00AF742B" w:rsidRPr="00BA2629" w:rsidRDefault="00AF742B" w:rsidP="00AF742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3308 Groups and Communication</w:t>
            </w:r>
          </w:p>
        </w:tc>
        <w:tc>
          <w:tcPr>
            <w:tcW w:w="45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  <w:vAlign w:val="bottom"/>
          </w:tcPr>
          <w:p w:rsidR="00AF742B" w:rsidRPr="00BA2629" w:rsidRDefault="00AF742B" w:rsidP="00AF74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3346 Public Relations Writing</w:t>
            </w:r>
          </w:p>
        </w:tc>
        <w:tc>
          <w:tcPr>
            <w:tcW w:w="45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and CMP 2241</w:t>
            </w:r>
          </w:p>
        </w:tc>
        <w:tc>
          <w:tcPr>
            <w:tcW w:w="1715" w:type="dxa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060525">
        <w:tc>
          <w:tcPr>
            <w:tcW w:w="4050" w:type="dxa"/>
            <w:vAlign w:val="bottom"/>
          </w:tcPr>
          <w:p w:rsidR="00AF742B" w:rsidRPr="00BA2629" w:rsidRDefault="00AF742B" w:rsidP="00AF74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AF742B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F742B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060525">
        <w:tc>
          <w:tcPr>
            <w:tcW w:w="4050" w:type="dxa"/>
            <w:shd w:val="clear" w:color="auto" w:fill="F2F2F2" w:themeFill="background1" w:themeFillShade="F2"/>
          </w:tcPr>
          <w:p w:rsidR="00AF742B" w:rsidRPr="00BA2629" w:rsidRDefault="00AF742B" w:rsidP="00AF742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F742B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F742B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F742B" w:rsidTr="00060525">
        <w:tc>
          <w:tcPr>
            <w:tcW w:w="4050" w:type="dxa"/>
          </w:tcPr>
          <w:p w:rsidR="00AF742B" w:rsidRPr="00BA2629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  <w:shd w:val="clear" w:color="auto" w:fill="FFFFFF" w:themeFill="background1"/>
          </w:tcPr>
          <w:p w:rsidR="00AF742B" w:rsidRPr="00473C19" w:rsidRDefault="00AF742B" w:rsidP="00AF742B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AF742B" w:rsidRPr="00473C19" w:rsidRDefault="00AF742B" w:rsidP="00AF742B">
            <w:pPr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BA2629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</w:t>
            </w:r>
          </w:p>
        </w:tc>
        <w:tc>
          <w:tcPr>
            <w:tcW w:w="450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BA2629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BA2629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One: CMP 4437 OR CMP 4440</w:t>
            </w:r>
          </w:p>
        </w:tc>
        <w:tc>
          <w:tcPr>
            <w:tcW w:w="450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AF742B" w:rsidRPr="003851CD" w:rsidRDefault="00AF742B" w:rsidP="00AF7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for CMP 4437</w:t>
            </w:r>
          </w:p>
        </w:tc>
        <w:tc>
          <w:tcPr>
            <w:tcW w:w="1715" w:type="dxa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BA2629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060525">
        <w:tc>
          <w:tcPr>
            <w:tcW w:w="4050" w:type="dxa"/>
            <w:shd w:val="clear" w:color="auto" w:fill="F2F2F2" w:themeFill="background1" w:themeFillShade="F2"/>
          </w:tcPr>
          <w:p w:rsidR="00AF742B" w:rsidRPr="00BA2629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F742B" w:rsidTr="00060525">
        <w:tc>
          <w:tcPr>
            <w:tcW w:w="4050" w:type="dxa"/>
          </w:tcPr>
          <w:p w:rsidR="00AF742B" w:rsidRPr="00B67A57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AF742B" w:rsidRPr="00BA2629" w:rsidRDefault="00AF742B" w:rsidP="00AF74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AF742B" w:rsidRPr="00473C19" w:rsidRDefault="00AF742B" w:rsidP="00AF742B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AF742B" w:rsidRPr="00473C19" w:rsidRDefault="00AF742B" w:rsidP="00AF742B">
            <w:pPr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B67A57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B67A57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  <w:shd w:val="clear" w:color="auto" w:fill="F2F2F2" w:themeFill="background1" w:themeFillShade="F2"/>
          </w:tcPr>
          <w:p w:rsidR="00AF742B" w:rsidRPr="00B67A57" w:rsidRDefault="00AF742B" w:rsidP="00AF742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AF742B" w:rsidRPr="00C04A5A" w:rsidRDefault="00AF742B" w:rsidP="00AF742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F742B" w:rsidTr="00060525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AF742B" w:rsidRPr="00B67A57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4446 Public Relations Campaigns</w:t>
            </w:r>
          </w:p>
        </w:tc>
        <w:tc>
          <w:tcPr>
            <w:tcW w:w="450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80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3346</w:t>
            </w:r>
          </w:p>
        </w:tc>
        <w:tc>
          <w:tcPr>
            <w:tcW w:w="1715" w:type="dxa"/>
            <w:shd w:val="clear" w:color="auto" w:fill="FFFFFF" w:themeFill="background1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060525">
        <w:tc>
          <w:tcPr>
            <w:tcW w:w="4050" w:type="dxa"/>
            <w:shd w:val="clear" w:color="auto" w:fill="FFFFFF" w:themeFill="background1"/>
          </w:tcPr>
          <w:p w:rsidR="00AF742B" w:rsidRPr="00B67A57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AF742B" w:rsidRPr="00473C19" w:rsidRDefault="00AF742B" w:rsidP="00AF742B">
            <w:pPr>
              <w:rPr>
                <w:sz w:val="14"/>
                <w:szCs w:val="14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B67A57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AF742B" w:rsidRPr="00E71323" w:rsidRDefault="00AF742B" w:rsidP="00AF742B">
            <w:pPr>
              <w:pStyle w:val="NoSpacing"/>
              <w:rPr>
                <w:sz w:val="12"/>
                <w:szCs w:val="12"/>
              </w:rPr>
            </w:pPr>
          </w:p>
        </w:tc>
      </w:tr>
      <w:tr w:rsidR="00AF742B" w:rsidTr="00060525">
        <w:tc>
          <w:tcPr>
            <w:tcW w:w="4050" w:type="dxa"/>
          </w:tcPr>
          <w:p w:rsidR="00AF742B" w:rsidRPr="00B67A57" w:rsidRDefault="00AF742B" w:rsidP="00AF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AF742B" w:rsidRPr="00E67D37" w:rsidRDefault="00AF742B" w:rsidP="00AF742B">
            <w:pPr>
              <w:pStyle w:val="NoSpacing"/>
              <w:rPr>
                <w:sz w:val="16"/>
                <w:szCs w:val="16"/>
              </w:rPr>
            </w:pPr>
          </w:p>
        </w:tc>
      </w:tr>
      <w:tr w:rsidR="00AF742B" w:rsidTr="00060525">
        <w:tc>
          <w:tcPr>
            <w:tcW w:w="4050" w:type="dxa"/>
            <w:shd w:val="clear" w:color="auto" w:fill="F2F2F2" w:themeFill="background1" w:themeFillShade="F2"/>
          </w:tcPr>
          <w:p w:rsidR="00AF742B" w:rsidRPr="00B67A57" w:rsidRDefault="00AF742B" w:rsidP="00AF742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F742B" w:rsidRPr="00E67D37" w:rsidRDefault="00AF742B" w:rsidP="00AF74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</w:p>
        </w:tc>
      </w:tr>
      <w:tr w:rsidR="00AF742B" w:rsidTr="00B00D09">
        <w:trPr>
          <w:trHeight w:val="275"/>
        </w:trPr>
        <w:tc>
          <w:tcPr>
            <w:tcW w:w="11070" w:type="dxa"/>
            <w:gridSpan w:val="8"/>
          </w:tcPr>
          <w:p w:rsidR="00AF742B" w:rsidRPr="00943870" w:rsidRDefault="00AF742B" w:rsidP="00AF742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F742B" w:rsidRDefault="00AF742B" w:rsidP="00AF742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F742B" w:rsidRPr="00C04A5A" w:rsidRDefault="00AF742B" w:rsidP="00AF74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C05808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08" w:rsidRPr="00B60C98" w:rsidRDefault="00C05808" w:rsidP="00C05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Communication, Corporate Communication, Public Relations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E70DC5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DC5" w:rsidRPr="00B60C98" w:rsidRDefault="0095002D" w:rsidP="00950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060525">
              <w:rPr>
                <w:b/>
                <w:sz w:val="24"/>
                <w:szCs w:val="24"/>
              </w:rPr>
              <w:t>2</w:t>
            </w:r>
            <w:r w:rsidR="00E70DC5">
              <w:rPr>
                <w:b/>
                <w:sz w:val="24"/>
                <w:szCs w:val="24"/>
              </w:rPr>
              <w:t>-202</w:t>
            </w:r>
            <w:r w:rsidR="00060525">
              <w:rPr>
                <w:b/>
                <w:sz w:val="24"/>
                <w:szCs w:val="24"/>
              </w:rPr>
              <w:t>3</w:t>
            </w:r>
            <w:r w:rsidR="00E70DC5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0DC5" w:rsidRPr="00B60C98" w:rsidRDefault="00E70DC5" w:rsidP="00E70DC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0DC5" w:rsidRPr="00B60C98" w:rsidRDefault="00E70DC5" w:rsidP="00E70DC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E70DC5" w:rsidRPr="00B60C98" w:rsidRDefault="00E70DC5" w:rsidP="00E70DC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0DC5" w:rsidRPr="00B60C98" w:rsidRDefault="00E70DC5" w:rsidP="00E70DC5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E70DC5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E70DC5" w:rsidRPr="00B60C98" w:rsidRDefault="00E70DC5" w:rsidP="00E70DC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70DC5" w:rsidRPr="00B60C98" w:rsidRDefault="00E70DC5" w:rsidP="00E70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b/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b/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Core Courses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b/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DC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E70DC5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70DC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70DC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2209 Persuasion</w:t>
            </w:r>
          </w:p>
        </w:tc>
        <w:tc>
          <w:tcPr>
            <w:tcW w:w="540" w:type="dxa"/>
            <w:shd w:val="clear" w:color="auto" w:fill="auto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0DC5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b/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 xml:space="preserve">Public Relations Track Courses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1110 Media Writing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2241 Intro to Public Relations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70DC5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 xml:space="preserve">CMP 3307 Social and Interactive Media Campaigns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rFonts w:ascii="Calibri" w:hAnsi="Calibri"/>
                <w:color w:val="000000"/>
                <w:sz w:val="16"/>
                <w:szCs w:val="16"/>
              </w:rPr>
              <w:t>CMP 3346 Public Relations Writing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 xml:space="preserve">CMP 4446 Public Relations Campaigns                                                                           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70DC5" w:rsidRPr="00B60C98" w:rsidTr="00F926A8">
        <w:tc>
          <w:tcPr>
            <w:tcW w:w="4860" w:type="dxa"/>
            <w:shd w:val="clear" w:color="auto" w:fill="auto"/>
          </w:tcPr>
          <w:p w:rsidR="00E70DC5" w:rsidRPr="00616719" w:rsidRDefault="00E70DC5" w:rsidP="00E70DC5">
            <w:pPr>
              <w:rPr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Choose ONE of the following:</w:t>
            </w:r>
          </w:p>
        </w:tc>
        <w:tc>
          <w:tcPr>
            <w:tcW w:w="540" w:type="dxa"/>
            <w:shd w:val="clear" w:color="auto" w:fill="auto"/>
          </w:tcPr>
          <w:p w:rsidR="00E70DC5" w:rsidRPr="00616719" w:rsidRDefault="00E70DC5" w:rsidP="00E7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E70DC5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4440 Sport Public Relations OR</w:t>
            </w:r>
          </w:p>
        </w:tc>
        <w:tc>
          <w:tcPr>
            <w:tcW w:w="540" w:type="dxa"/>
            <w:vMerge w:val="restart"/>
            <w:vAlign w:val="center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4437 Illustration and Brand Identity</w:t>
            </w:r>
          </w:p>
        </w:tc>
        <w:tc>
          <w:tcPr>
            <w:tcW w:w="540" w:type="dxa"/>
            <w:vMerge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70DC5" w:rsidRPr="00B60C98" w:rsidTr="00F758A5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CMP Electives: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F758A5">
        <w:tc>
          <w:tcPr>
            <w:tcW w:w="4860" w:type="dxa"/>
            <w:shd w:val="clear" w:color="auto" w:fill="auto"/>
          </w:tcPr>
          <w:p w:rsidR="00E70DC5" w:rsidRPr="003356C4" w:rsidRDefault="00E70DC5" w:rsidP="00E70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3 credits from CMP curriculum at 3000-level or above</w:t>
            </w:r>
          </w:p>
        </w:tc>
        <w:tc>
          <w:tcPr>
            <w:tcW w:w="540" w:type="dxa"/>
          </w:tcPr>
          <w:p w:rsidR="00E70DC5" w:rsidRPr="00154A76" w:rsidRDefault="00E70DC5" w:rsidP="00E7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FE1842" w:rsidRDefault="00E70DC5" w:rsidP="00E70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6 credits from CMP curriculum</w:t>
            </w:r>
          </w:p>
        </w:tc>
        <w:tc>
          <w:tcPr>
            <w:tcW w:w="540" w:type="dxa"/>
          </w:tcPr>
          <w:p w:rsidR="00E70DC5" w:rsidRPr="00FE1842" w:rsidRDefault="00E70DC5" w:rsidP="00E7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FE1842" w:rsidRDefault="00E70DC5" w:rsidP="00E70DC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70DC5" w:rsidRPr="00FE1842" w:rsidRDefault="00E70DC5" w:rsidP="00E7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2C6294" w:rsidRDefault="00E70DC5" w:rsidP="00E70DC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2C6294" w:rsidRDefault="00E70DC5" w:rsidP="00E70D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E70DC5" w:rsidRDefault="00E70DC5" w:rsidP="00E70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E70DC5" w:rsidRPr="002B6A71" w:rsidRDefault="00E70DC5" w:rsidP="00E70DC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DC5" w:rsidRPr="00B60C98" w:rsidRDefault="00D8771F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DC5" w:rsidRPr="00B60C98" w:rsidRDefault="00D8771F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</w:p>
        </w:tc>
      </w:tr>
      <w:tr w:rsidR="00E70DC5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E14260" w:rsidRDefault="00E70DC5" w:rsidP="00E70DC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70DC5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06052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DC5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06052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DC5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060525" w:rsidP="0006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DC5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06052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DC5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  <w:r w:rsidRPr="00953890">
              <w:rPr>
                <w:sz w:val="16"/>
                <w:szCs w:val="16"/>
              </w:rPr>
              <w:t>CMP 2205 Argumentation is suggested for GE Objective 7 and CMP elective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3/26/2020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E70DC5" w:rsidRPr="00B60C98" w:rsidRDefault="00060525" w:rsidP="00E70D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CAL</w:t>
            </w: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E70DC5" w:rsidRPr="00B60C98" w:rsidRDefault="00060525" w:rsidP="00E70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5/5/22</w:t>
            </w:r>
            <w:r w:rsidR="004F6818">
              <w:rPr>
                <w:sz w:val="20"/>
                <w:szCs w:val="20"/>
              </w:rPr>
              <w:t xml:space="preserve"> vlb</w:t>
            </w: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E70DC5" w:rsidRPr="004C0486" w:rsidRDefault="00E70DC5" w:rsidP="00E70DC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70DC5" w:rsidRPr="008C01E4" w:rsidRDefault="00E70DC5" w:rsidP="00E70DC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70DC5" w:rsidRPr="004C0486" w:rsidRDefault="00E70DC5" w:rsidP="00E70DC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70DC5" w:rsidRDefault="00E70DC5" w:rsidP="00E70DC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70DC5" w:rsidRPr="004C0486" w:rsidRDefault="00E70DC5" w:rsidP="00E70DC5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DC5" w:rsidRPr="00521695" w:rsidRDefault="00E70DC5" w:rsidP="00E70D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695" w:rsidRDefault="00987695" w:rsidP="008518ED">
      <w:pPr>
        <w:spacing w:after="0" w:line="240" w:lineRule="auto"/>
      </w:pPr>
      <w:r>
        <w:separator/>
      </w:r>
    </w:p>
  </w:endnote>
  <w:endnote w:type="continuationSeparator" w:id="0">
    <w:p w:rsidR="00987695" w:rsidRDefault="0098769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695" w:rsidRDefault="00987695" w:rsidP="008518ED">
      <w:pPr>
        <w:spacing w:after="0" w:line="240" w:lineRule="auto"/>
      </w:pPr>
      <w:r>
        <w:separator/>
      </w:r>
    </w:p>
  </w:footnote>
  <w:footnote w:type="continuationSeparator" w:id="0">
    <w:p w:rsidR="00987695" w:rsidRDefault="0098769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MbUwM7c0MTAws7RU0lEKTi0uzszPAykwqgUAwVAIviwAAAA="/>
  </w:docVars>
  <w:rsids>
    <w:rsidRoot w:val="00BA7BDE"/>
    <w:rsid w:val="000059E7"/>
    <w:rsid w:val="00013EC0"/>
    <w:rsid w:val="0001550E"/>
    <w:rsid w:val="0004615F"/>
    <w:rsid w:val="00056F4B"/>
    <w:rsid w:val="00060525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12021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4181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0E3A"/>
    <w:rsid w:val="003020DF"/>
    <w:rsid w:val="003356C4"/>
    <w:rsid w:val="00341D25"/>
    <w:rsid w:val="0036386E"/>
    <w:rsid w:val="0037691A"/>
    <w:rsid w:val="00384E42"/>
    <w:rsid w:val="003851CD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681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0963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526E2"/>
    <w:rsid w:val="00760800"/>
    <w:rsid w:val="007608DB"/>
    <w:rsid w:val="00777362"/>
    <w:rsid w:val="0078060B"/>
    <w:rsid w:val="00792F6D"/>
    <w:rsid w:val="00796365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5002D"/>
    <w:rsid w:val="00975015"/>
    <w:rsid w:val="0098617C"/>
    <w:rsid w:val="00987695"/>
    <w:rsid w:val="009B42A4"/>
    <w:rsid w:val="009B67E6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AF742B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05808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353C"/>
    <w:rsid w:val="00D8570C"/>
    <w:rsid w:val="00D86D33"/>
    <w:rsid w:val="00D8771F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0DC5"/>
    <w:rsid w:val="00E71323"/>
    <w:rsid w:val="00E725D8"/>
    <w:rsid w:val="00E7707A"/>
    <w:rsid w:val="00E80337"/>
    <w:rsid w:val="00E9223D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D4A2-D73F-4487-9EC7-676E029C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James Disanza</cp:lastModifiedBy>
  <cp:revision>2</cp:revision>
  <cp:lastPrinted>2020-03-26T20:35:00Z</cp:lastPrinted>
  <dcterms:created xsi:type="dcterms:W3CDTF">2022-05-19T19:23:00Z</dcterms:created>
  <dcterms:modified xsi:type="dcterms:W3CDTF">2022-05-19T19:23:00Z</dcterms:modified>
</cp:coreProperties>
</file>