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57B23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DC06A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157B23">
                                    <w:rPr>
                                      <w:szCs w:val="28"/>
                                    </w:rPr>
                                    <w:t>, Civil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0383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0383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7B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57B23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DC06A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157B23">
                              <w:rPr>
                                <w:szCs w:val="28"/>
                              </w:rPr>
                              <w:t>, Civil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0383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0383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7B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540"/>
        <w:gridCol w:w="545"/>
        <w:gridCol w:w="23"/>
        <w:gridCol w:w="607"/>
        <w:gridCol w:w="23"/>
        <w:gridCol w:w="2227"/>
        <w:gridCol w:w="2430"/>
      </w:tblGrid>
      <w:tr w:rsidR="00BD787A" w:rsidTr="00A06AC2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06AC2" w:rsidTr="00A06AC2">
        <w:tc>
          <w:tcPr>
            <w:tcW w:w="4050" w:type="dxa"/>
          </w:tcPr>
          <w:p w:rsidR="00A06AC2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 Applied Mathematics I</w:t>
            </w:r>
          </w:p>
          <w:p w:rsidR="00A06AC2" w:rsidRPr="00E67D37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(*For alternate see </w:t>
            </w:r>
            <w:proofErr w:type="gramStart"/>
            <w:r>
              <w:rPr>
                <w:sz w:val="16"/>
                <w:szCs w:val="16"/>
              </w:rPr>
              <w:t>Advisor )</w:t>
            </w:r>
            <w:proofErr w:type="gramEnd"/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E67D37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0111: Drawing with CAD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0112: Beginning Survey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 xml:space="preserve">CET 0115A: Materials Testing </w:t>
            </w:r>
            <w:proofErr w:type="gramStart"/>
            <w:r w:rsidRPr="00A06AC2">
              <w:rPr>
                <w:sz w:val="16"/>
                <w:szCs w:val="16"/>
              </w:rPr>
              <w:t xml:space="preserve">I  </w:t>
            </w:r>
            <w:r w:rsidRPr="00A06AC2">
              <w:rPr>
                <w:b/>
                <w:sz w:val="16"/>
                <w:szCs w:val="16"/>
              </w:rPr>
              <w:t>OR</w:t>
            </w:r>
            <w:proofErr w:type="gramEnd"/>
          </w:p>
          <w:p w:rsidR="00A06AC2" w:rsidRPr="00A06AC2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 xml:space="preserve">    BT 0170: Computer Literacy and Business Software</w:t>
            </w:r>
          </w:p>
        </w:tc>
        <w:tc>
          <w:tcPr>
            <w:tcW w:w="625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  <w:r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06A9">
              <w:rPr>
                <w:sz w:val="16"/>
                <w:szCs w:val="16"/>
              </w:rPr>
              <w:t>2-13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06AC2" w:rsidTr="00A06AC2">
        <w:tc>
          <w:tcPr>
            <w:tcW w:w="4050" w:type="dxa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0120: Applied Mathematics II</w:t>
            </w:r>
          </w:p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(*For alternate </w:t>
            </w:r>
            <w:proofErr w:type="gramStart"/>
            <w:r>
              <w:rPr>
                <w:sz w:val="16"/>
                <w:szCs w:val="16"/>
              </w:rPr>
              <w:t>see</w:t>
            </w:r>
            <w:proofErr w:type="gramEnd"/>
            <w:r>
              <w:rPr>
                <w:sz w:val="16"/>
                <w:szCs w:val="16"/>
              </w:rPr>
              <w:t xml:space="preserve"> Advisor)</w:t>
            </w:r>
          </w:p>
        </w:tc>
        <w:tc>
          <w:tcPr>
            <w:tcW w:w="625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700B0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0122: Intermediate Surveying and Spatial Analysis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6AC2" w:rsidTr="00A06AC2">
        <w:tc>
          <w:tcPr>
            <w:tcW w:w="4050" w:type="dxa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0125</w:t>
            </w:r>
            <w:proofErr w:type="gramStart"/>
            <w:r>
              <w:rPr>
                <w:sz w:val="16"/>
                <w:szCs w:val="16"/>
              </w:rPr>
              <w:t>A :</w:t>
            </w:r>
            <w:proofErr w:type="gramEnd"/>
            <w:r>
              <w:rPr>
                <w:sz w:val="16"/>
                <w:szCs w:val="16"/>
              </w:rPr>
              <w:t xml:space="preserve"> Materials Testing II   </w:t>
            </w:r>
            <w:r w:rsidRPr="00A06AC2">
              <w:rPr>
                <w:b/>
                <w:sz w:val="16"/>
                <w:szCs w:val="16"/>
              </w:rPr>
              <w:t>OR</w:t>
            </w:r>
          </w:p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GEMT 2231 Survey Computations</w:t>
            </w:r>
          </w:p>
        </w:tc>
        <w:tc>
          <w:tcPr>
            <w:tcW w:w="625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06A9">
              <w:rPr>
                <w:sz w:val="16"/>
                <w:szCs w:val="16"/>
              </w:rPr>
              <w:t>2-13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C06A9" w:rsidTr="00A06AC2">
        <w:tc>
          <w:tcPr>
            <w:tcW w:w="4050" w:type="dxa"/>
          </w:tcPr>
          <w:p w:rsidR="00DC06A9" w:rsidRPr="00DC06A9" w:rsidRDefault="00DC06A9" w:rsidP="00DC06A9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25" w:type="dxa"/>
            <w:vAlign w:val="center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C06A9" w:rsidRPr="00DC06A9" w:rsidRDefault="00DC06A9" w:rsidP="00DC06A9">
            <w:pPr>
              <w:pStyle w:val="NoSpacing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Placement Score</w:t>
            </w:r>
          </w:p>
        </w:tc>
        <w:tc>
          <w:tcPr>
            <w:tcW w:w="2430" w:type="dxa"/>
          </w:tcPr>
          <w:p w:rsidR="00DC06A9" w:rsidRPr="00DC06A9" w:rsidRDefault="00DC06A9" w:rsidP="00DC06A9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0216: Route Survey and GFS Fundamentals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0122</w:t>
            </w: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rPr>
          <w:trHeight w:val="110"/>
        </w:trPr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0232: Plan Reading and Worksite Safety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0243: Public Works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0250: Unmanned Aerial Systems/Imagery Analysis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1</w:t>
            </w:r>
            <w:r w:rsidR="00DC06A9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C06A9" w:rsidTr="00A06AC2">
        <w:tc>
          <w:tcPr>
            <w:tcW w:w="4050" w:type="dxa"/>
          </w:tcPr>
          <w:p w:rsidR="00DC06A9" w:rsidRPr="00DC06A9" w:rsidRDefault="00DC06A9" w:rsidP="00DC06A9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25" w:type="dxa"/>
            <w:vAlign w:val="center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C06A9" w:rsidRPr="00DC06A9" w:rsidRDefault="00DC06A9" w:rsidP="00DC06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C06A9" w:rsidRPr="00DC06A9" w:rsidRDefault="00DC06A9" w:rsidP="00DC06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06A9" w:rsidRPr="00DC06A9" w:rsidRDefault="00DC06A9" w:rsidP="00DC06A9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CET: 0226: Construction Surveying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0216</w:t>
            </w: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0120</w:t>
            </w: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0251: Introduction to Legal Descriptions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DC06A9" w:rsidRDefault="00A06AC2" w:rsidP="00A06AC2">
            <w:pPr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25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DC06A9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DC06A9">
              <w:rPr>
                <w:sz w:val="16"/>
                <w:szCs w:val="16"/>
              </w:rPr>
              <w:t>CET 0122</w:t>
            </w:r>
          </w:p>
        </w:tc>
        <w:tc>
          <w:tcPr>
            <w:tcW w:w="2430" w:type="dxa"/>
          </w:tcPr>
          <w:p w:rsidR="00A06AC2" w:rsidRPr="00DC06A9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Pr="00292C65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Pr="00292C65" w:rsidRDefault="00DC06A9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D42DE8" w:rsidRDefault="00A06AC2" w:rsidP="00A06AC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D42DE8" w:rsidRDefault="00A06AC2" w:rsidP="00A06AC2">
            <w:pPr>
              <w:pStyle w:val="NoSpacing"/>
              <w:rPr>
                <w:sz w:val="14"/>
                <w:szCs w:val="16"/>
              </w:rPr>
            </w:pPr>
          </w:p>
        </w:tc>
      </w:tr>
      <w:tr w:rsidR="00A06AC2" w:rsidTr="00B00D09">
        <w:trPr>
          <w:trHeight w:val="275"/>
        </w:trPr>
        <w:tc>
          <w:tcPr>
            <w:tcW w:w="11070" w:type="dxa"/>
            <w:gridSpan w:val="9"/>
          </w:tcPr>
          <w:p w:rsidR="00A06AC2" w:rsidRPr="00943870" w:rsidRDefault="00A06AC2" w:rsidP="00A06AC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06AC2" w:rsidRDefault="00A06AC2" w:rsidP="00A06AC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06AC2" w:rsidRPr="00C04A5A" w:rsidRDefault="00A06AC2" w:rsidP="00A06AC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275"/>
        <w:gridCol w:w="720"/>
      </w:tblGrid>
      <w:tr w:rsidR="00B60C98" w:rsidRPr="00B60C98" w:rsidTr="00A06AC2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06AC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A06AC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</w:t>
            </w:r>
            <w:r w:rsidR="00A06AC2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1,2,3,5,6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A06AC2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A06AC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DC06A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-48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0111: Drawing with CAD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0112: Beginning Survey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0121: Civil Engineering Technology Drafting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0122: Intermediate Surveying and Spatial Analysis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0216: Rout3 Survey and GPS Fundamentals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7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0226: Construction Surveying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0228: Principles of GIS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0232: Plan Reading and Worksite Safety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0243: Public Works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0250: Unmanned Aerial Systems/Imagery Analysis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0251: Introduction to Legal Descriptions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A06AC2" w:rsidRPr="00B60C98" w:rsidTr="00A06A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GEMT: Public Land Surveying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C3671A" w:rsidRDefault="00A06AC2" w:rsidP="00A06AC2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5" w:type="dxa"/>
          </w:tcPr>
          <w:p w:rsidR="00A06AC2" w:rsidRPr="00C3671A" w:rsidRDefault="00A06AC2" w:rsidP="00A06AC2">
            <w:pPr>
              <w:jc w:val="center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0115A: Materials Testing and Specifications I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0125A: Materials Testing and Specifications II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C3671A" w:rsidRDefault="00A06AC2" w:rsidP="00A06AC2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OR the following two courses: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BT 0170: Computer Literacy and Business Software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GEMT 2231: Survey Computations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AD3AA6" w:rsidRDefault="00A06AC2" w:rsidP="00A06AC2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5" w:type="dxa"/>
          </w:tcPr>
          <w:p w:rsidR="00A06AC2" w:rsidRPr="00A06AC2" w:rsidRDefault="00A06AC2" w:rsidP="00A06AC2">
            <w:pPr>
              <w:jc w:val="center"/>
              <w:rPr>
                <w:b/>
                <w:sz w:val="18"/>
                <w:szCs w:val="18"/>
              </w:rPr>
            </w:pPr>
            <w:r w:rsidRPr="00A06AC2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2C6294" w:rsidRDefault="00A06AC2" w:rsidP="00A06AC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2C6294" w:rsidRDefault="001B27A7" w:rsidP="00A06A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0110: Applied Mathematics I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06AC2" w:rsidRDefault="00A06AC2" w:rsidP="00A0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06AC2" w:rsidRPr="002B6A71" w:rsidRDefault="00A06AC2" w:rsidP="00A06AC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0120: Applied Mathematics II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20"/>
                <w:szCs w:val="20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AD3AA6" w:rsidRDefault="00A06AC2" w:rsidP="00A06AC2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OR complete the following course: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06AC2" w:rsidRPr="00B60C98" w:rsidRDefault="00A06AC2" w:rsidP="00A06AC2">
            <w:pPr>
              <w:rPr>
                <w:sz w:val="20"/>
                <w:szCs w:val="20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MATH 1147: </w:t>
            </w:r>
            <w:proofErr w:type="gramStart"/>
            <w:r>
              <w:rPr>
                <w:sz w:val="18"/>
                <w:szCs w:val="18"/>
              </w:rPr>
              <w:t>Precalculus  (</w:t>
            </w:r>
            <w:proofErr w:type="gramEnd"/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prereq</w:t>
            </w:r>
            <w:proofErr w:type="spellEnd"/>
            <w:r>
              <w:rPr>
                <w:sz w:val="18"/>
                <w:szCs w:val="18"/>
              </w:rPr>
              <w:t>: MATH 1108)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06AC2" w:rsidRPr="00B60C98" w:rsidRDefault="00A06AC2" w:rsidP="00A06AC2">
            <w:pPr>
              <w:rPr>
                <w:sz w:val="20"/>
                <w:szCs w:val="20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06AC2" w:rsidRPr="00B60C98" w:rsidRDefault="00A06AC2" w:rsidP="00A06AC2">
            <w:pPr>
              <w:rPr>
                <w:sz w:val="20"/>
                <w:szCs w:val="20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06AC2" w:rsidRPr="00B60C98" w:rsidRDefault="00A06AC2" w:rsidP="00A06AC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C06A9" w:rsidRPr="00B60C98" w:rsidTr="00DC06A9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</w:tr>
      <w:tr w:rsidR="00DC06A9" w:rsidRPr="00B60C98" w:rsidTr="00DC06A9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C06A9" w:rsidRPr="00B60C98" w:rsidTr="00DC06A9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06A9" w:rsidRPr="00B60C98" w:rsidTr="001B27A7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06A9" w:rsidRPr="00B60C98" w:rsidTr="001B27A7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DC06A9" w:rsidRPr="001B27A7" w:rsidRDefault="00DC06A9" w:rsidP="00DC0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52-54</w:t>
            </w:r>
          </w:p>
        </w:tc>
      </w:tr>
      <w:tr w:rsidR="00DC06A9" w:rsidRPr="00B60C98" w:rsidTr="00A06AC2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A06AC2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A06AC2">
        <w:tc>
          <w:tcPr>
            <w:tcW w:w="4675" w:type="dxa"/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A06AC2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A06AC2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C06A9" w:rsidRPr="00B60C98" w:rsidRDefault="00DC06A9" w:rsidP="00DC06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C06A9" w:rsidRPr="00E14260" w:rsidRDefault="00DC06A9" w:rsidP="00DC06A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C06A9" w:rsidRPr="00B60C98" w:rsidTr="001B27A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C06A9" w:rsidRPr="00B60C98" w:rsidRDefault="00DC06A9" w:rsidP="00DC06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1B27A7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C06A9" w:rsidRPr="00B60C98" w:rsidRDefault="00DC06A9" w:rsidP="00DC06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1B27A7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C06A9" w:rsidRPr="00B60C98" w:rsidRDefault="00DC06A9" w:rsidP="00DC06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1B27A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C06A9" w:rsidRPr="00B60C98" w:rsidRDefault="00DC06A9" w:rsidP="00DC06A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6A9" w:rsidRPr="00B60C98" w:rsidRDefault="00DC06A9" w:rsidP="00DC06A9">
            <w:pPr>
              <w:jc w:val="center"/>
              <w:rPr>
                <w:sz w:val="20"/>
                <w:szCs w:val="20"/>
              </w:rPr>
            </w:pPr>
          </w:p>
        </w:tc>
      </w:tr>
      <w:tr w:rsidR="00DC06A9" w:rsidRPr="00B60C98" w:rsidTr="00A06AC2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9" w:rsidRPr="001F656B" w:rsidRDefault="00DC06A9" w:rsidP="00DC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C06A9" w:rsidRPr="00B60C98" w:rsidRDefault="00DC06A9" w:rsidP="00DC06A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C06A9" w:rsidRPr="00B60C98" w:rsidRDefault="00DC06A9" w:rsidP="00DC06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C06A9" w:rsidRPr="00B60C98" w:rsidRDefault="00DC06A9" w:rsidP="00DC06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06A9" w:rsidRPr="00B60C98" w:rsidRDefault="00DC06A9" w:rsidP="00DC06A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06A9" w:rsidRPr="00B60C98" w:rsidRDefault="00DC06A9" w:rsidP="00DC06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</w:t>
            </w: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C06A9" w:rsidRPr="00B60C98" w:rsidRDefault="00DC06A9" w:rsidP="00DC06A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C06A9" w:rsidRPr="004C0486" w:rsidRDefault="00DC06A9" w:rsidP="00DC06A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C06A9" w:rsidRPr="008C01E4" w:rsidRDefault="00DC06A9" w:rsidP="00DC06A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C06A9" w:rsidRPr="004C0486" w:rsidRDefault="00DC06A9" w:rsidP="00DC06A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C06A9" w:rsidRDefault="00DC06A9" w:rsidP="00DC06A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C06A9" w:rsidRPr="004C0486" w:rsidRDefault="00DC06A9" w:rsidP="00DC06A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  <w:tr w:rsidR="00DC06A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  <w:tr w:rsidR="00DC06A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6A9" w:rsidRPr="001F656B" w:rsidRDefault="00DC06A9" w:rsidP="00DC06A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6A9" w:rsidRPr="00521695" w:rsidRDefault="00DC06A9" w:rsidP="00DC06A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C06A9" w:rsidRPr="00B60C98" w:rsidRDefault="00DC06A9" w:rsidP="00DC06A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C06A9">
        <w:rPr>
          <w:rFonts w:ascii="Calibri" w:eastAsia="Times New Roman" w:hAnsi="Calibri" w:cs="Times New Roman"/>
          <w:sz w:val="20"/>
          <w:szCs w:val="20"/>
        </w:rPr>
        <w:t>ADTC</w:t>
      </w:r>
      <w:bookmarkStart w:id="0" w:name="_GoBack"/>
      <w:bookmarkEnd w:id="0"/>
      <w:r w:rsidR="00A06AC2">
        <w:rPr>
          <w:rFonts w:ascii="Calibri" w:eastAsia="Times New Roman" w:hAnsi="Calibri" w:cs="Times New Roman"/>
          <w:sz w:val="20"/>
          <w:szCs w:val="20"/>
        </w:rPr>
        <w:t>, Civil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3C" w:rsidRDefault="0040383C" w:rsidP="008518ED">
      <w:pPr>
        <w:spacing w:after="0" w:line="240" w:lineRule="auto"/>
      </w:pPr>
      <w:r>
        <w:separator/>
      </w:r>
    </w:p>
  </w:endnote>
  <w:endnote w:type="continuationSeparator" w:id="0">
    <w:p w:rsidR="0040383C" w:rsidRDefault="0040383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3C" w:rsidRDefault="0040383C" w:rsidP="008518ED">
      <w:pPr>
        <w:spacing w:after="0" w:line="240" w:lineRule="auto"/>
      </w:pPr>
      <w:r>
        <w:separator/>
      </w:r>
    </w:p>
  </w:footnote>
  <w:footnote w:type="continuationSeparator" w:id="0">
    <w:p w:rsidR="0040383C" w:rsidRDefault="0040383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57B23"/>
    <w:rsid w:val="00170351"/>
    <w:rsid w:val="00193CFE"/>
    <w:rsid w:val="00194BA6"/>
    <w:rsid w:val="001B04E4"/>
    <w:rsid w:val="001B27A7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383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06AC2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06A9"/>
    <w:rsid w:val="00DC4E37"/>
    <w:rsid w:val="00DC6C24"/>
    <w:rsid w:val="00DD67D4"/>
    <w:rsid w:val="00DF097F"/>
    <w:rsid w:val="00DF3CF5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156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ED73-F007-4447-B9CB-C5E8486D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2020-03-27T15:33:00Z</dcterms:created>
  <dcterms:modified xsi:type="dcterms:W3CDTF">2020-03-27T15:33:00Z</dcterms:modified>
</cp:coreProperties>
</file>