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8C344A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Energy Systems – </w:t>
                            </w:r>
                            <w:r w:rsidR="000A6888">
                              <w:rPr>
                                <w:sz w:val="28"/>
                                <w:szCs w:val="28"/>
                              </w:rPr>
                              <w:t>Mechanical Engineering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 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8C344A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Energy Systems – </w:t>
                      </w:r>
                      <w:r w:rsidR="000A6888">
                        <w:rPr>
                          <w:sz w:val="28"/>
                          <w:szCs w:val="28"/>
                        </w:rPr>
                        <w:t>Mechanical Engineering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 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250"/>
        <w:gridCol w:w="1823"/>
      </w:tblGrid>
      <w:tr w:rsidR="00BD787A" w:rsidTr="00C526F7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C526F7">
        <w:tc>
          <w:tcPr>
            <w:tcW w:w="4765" w:type="dxa"/>
          </w:tcPr>
          <w:p w:rsidR="00056F4B" w:rsidRPr="00E67D37" w:rsidRDefault="00BA5F0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056F4B" w:rsidRPr="00E67D37" w:rsidRDefault="00BA5F0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34B26">
              <w:rPr>
                <w:sz w:val="16"/>
                <w:szCs w:val="16"/>
              </w:rPr>
              <w:t>,S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34B26" w:rsidTr="00C526F7">
        <w:tc>
          <w:tcPr>
            <w:tcW w:w="4765" w:type="dxa"/>
          </w:tcPr>
          <w:p w:rsidR="00F34B26" w:rsidRDefault="00F34B26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34B26" w:rsidRPr="00E67D37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01305E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0" w:type="dxa"/>
            <w:vAlign w:val="center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812DB5" w:rsidTr="00C526F7">
        <w:tc>
          <w:tcPr>
            <w:tcW w:w="4765" w:type="dxa"/>
          </w:tcPr>
          <w:p w:rsidR="00812DB5" w:rsidRPr="00E67D37" w:rsidRDefault="0001305E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</w:t>
            </w:r>
          </w:p>
        </w:tc>
        <w:tc>
          <w:tcPr>
            <w:tcW w:w="630" w:type="dxa"/>
            <w:vAlign w:val="center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2B600D" w:rsidTr="00C526F7">
        <w:tc>
          <w:tcPr>
            <w:tcW w:w="4765" w:type="dxa"/>
          </w:tcPr>
          <w:p w:rsidR="002B600D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0123: Mechanical Power Transmission</w:t>
            </w:r>
          </w:p>
        </w:tc>
        <w:tc>
          <w:tcPr>
            <w:tcW w:w="630" w:type="dxa"/>
            <w:vAlign w:val="center"/>
          </w:tcPr>
          <w:p w:rsidR="002B600D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B600D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</w:t>
            </w:r>
          </w:p>
        </w:tc>
      </w:tr>
      <w:tr w:rsidR="0001305E" w:rsidTr="00C526F7">
        <w:tc>
          <w:tcPr>
            <w:tcW w:w="4765" w:type="dxa"/>
          </w:tcPr>
          <w:p w:rsidR="0001305E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0123L: Mechanical Power Transmission Lab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</w:t>
            </w:r>
          </w:p>
        </w:tc>
      </w:tr>
      <w:tr w:rsidR="0001305E" w:rsidTr="00C526F7">
        <w:tc>
          <w:tcPr>
            <w:tcW w:w="4765" w:type="dxa"/>
          </w:tcPr>
          <w:p w:rsidR="0001305E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0125: Introduction to Structural Welding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1305E" w:rsidTr="00C526F7">
        <w:tc>
          <w:tcPr>
            <w:tcW w:w="4765" w:type="dxa"/>
          </w:tcPr>
          <w:p w:rsidR="0001305E" w:rsidRDefault="0001305E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(Appropriate Placement Score)</w:t>
            </w:r>
          </w:p>
        </w:tc>
        <w:tc>
          <w:tcPr>
            <w:tcW w:w="182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8C344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1305E" w:rsidTr="00C526F7">
        <w:tc>
          <w:tcPr>
            <w:tcW w:w="4765" w:type="dxa"/>
          </w:tcPr>
          <w:p w:rsidR="0001305E" w:rsidRDefault="0001305E" w:rsidP="008C3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8C344A">
              <w:rPr>
                <w:sz w:val="16"/>
                <w:szCs w:val="16"/>
              </w:rPr>
              <w:t>2: COMM 1101 Principles of Speech</w:t>
            </w:r>
          </w:p>
        </w:tc>
        <w:tc>
          <w:tcPr>
            <w:tcW w:w="63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305E" w:rsidRDefault="00F0460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1305E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1305E" w:rsidRPr="00E67D37" w:rsidRDefault="0001305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01305E" w:rsidRPr="00700B0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1305E" w:rsidRPr="00E67D37" w:rsidRDefault="0001305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194BA6" w:rsidRDefault="00395948" w:rsidP="0051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637CEE">
              <w:rPr>
                <w:sz w:val="16"/>
                <w:szCs w:val="16"/>
              </w:rPr>
              <w:t>5</w:t>
            </w:r>
            <w:r w:rsidR="00B36005">
              <w:rPr>
                <w:sz w:val="16"/>
                <w:szCs w:val="16"/>
              </w:rPr>
              <w:t xml:space="preserve">: </w:t>
            </w:r>
            <w:r w:rsidR="00637CEE">
              <w:rPr>
                <w:sz w:val="16"/>
                <w:szCs w:val="16"/>
              </w:rPr>
              <w:t xml:space="preserve"> </w:t>
            </w:r>
            <w:r w:rsidR="008C344A">
              <w:rPr>
                <w:sz w:val="16"/>
                <w:szCs w:val="16"/>
              </w:rPr>
              <w:t>PHYS 1101 &amp; Lab Elements of Physics</w:t>
            </w:r>
          </w:p>
        </w:tc>
        <w:tc>
          <w:tcPr>
            <w:tcW w:w="630" w:type="dxa"/>
            <w:vAlign w:val="center"/>
          </w:tcPr>
          <w:p w:rsidR="00056F4B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194BA6" w:rsidRDefault="004B3EF0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3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  <w:tc>
          <w:tcPr>
            <w:tcW w:w="1823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BD787A" w:rsidTr="00C526F7">
        <w:tc>
          <w:tcPr>
            <w:tcW w:w="4765" w:type="dxa"/>
          </w:tcPr>
          <w:p w:rsidR="00056F4B" w:rsidRPr="00194BA6" w:rsidRDefault="004B3EF0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Theory Lab</w:t>
            </w:r>
          </w:p>
        </w:tc>
        <w:tc>
          <w:tcPr>
            <w:tcW w:w="63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  <w:tc>
          <w:tcPr>
            <w:tcW w:w="1823" w:type="dxa"/>
          </w:tcPr>
          <w:p w:rsidR="00056F4B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FF7543" w:rsidTr="00C526F7">
        <w:tc>
          <w:tcPr>
            <w:tcW w:w="4765" w:type="dxa"/>
          </w:tcPr>
          <w:p w:rsidR="00FF7543" w:rsidRDefault="004B3EF0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0126: Introduction to Mechanical Drafting and CAD</w:t>
            </w:r>
          </w:p>
        </w:tc>
        <w:tc>
          <w:tcPr>
            <w:tcW w:w="630" w:type="dxa"/>
            <w:vAlign w:val="center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C526F7">
        <w:tc>
          <w:tcPr>
            <w:tcW w:w="4765" w:type="dxa"/>
          </w:tcPr>
          <w:p w:rsidR="00FF7543" w:rsidRDefault="004B3EF0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0127: Mechanical Power Transmission II</w:t>
            </w:r>
          </w:p>
        </w:tc>
        <w:tc>
          <w:tcPr>
            <w:tcW w:w="630" w:type="dxa"/>
            <w:vAlign w:val="center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FF7543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0123, 0140</w:t>
            </w:r>
          </w:p>
        </w:tc>
        <w:tc>
          <w:tcPr>
            <w:tcW w:w="1823" w:type="dxa"/>
          </w:tcPr>
          <w:p w:rsidR="00FF7543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</w:t>
            </w:r>
          </w:p>
        </w:tc>
      </w:tr>
      <w:tr w:rsidR="00812DB5" w:rsidTr="00C526F7">
        <w:tc>
          <w:tcPr>
            <w:tcW w:w="4765" w:type="dxa"/>
          </w:tcPr>
          <w:p w:rsidR="00812DB5" w:rsidRPr="00194BA6" w:rsidRDefault="004B3EF0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0127L: Mechanical Power Transmission Lab II</w:t>
            </w:r>
          </w:p>
        </w:tc>
        <w:tc>
          <w:tcPr>
            <w:tcW w:w="630" w:type="dxa"/>
            <w:vAlign w:val="center"/>
          </w:tcPr>
          <w:p w:rsidR="00812DB5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812DB5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0123, 0140</w:t>
            </w:r>
          </w:p>
        </w:tc>
        <w:tc>
          <w:tcPr>
            <w:tcW w:w="1823" w:type="dxa"/>
          </w:tcPr>
          <w:p w:rsidR="00812DB5" w:rsidRDefault="004B3EF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8C344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4B3EF0" w:rsidTr="00C526F7">
        <w:tc>
          <w:tcPr>
            <w:tcW w:w="4765" w:type="dxa"/>
            <w:shd w:val="clear" w:color="auto" w:fill="FFFFFF" w:themeFill="background1"/>
          </w:tcPr>
          <w:p w:rsidR="004B3EF0" w:rsidRDefault="004B3EF0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B3EF0" w:rsidRPr="00294674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B3EF0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B3EF0" w:rsidRPr="00E67D37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3EF0" w:rsidRDefault="004B3EF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B3EF0" w:rsidRDefault="004B3EF0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4B3EF0" w:rsidRPr="00E67D37" w:rsidRDefault="004B3EF0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F7543" w:rsidTr="00C526F7">
        <w:tc>
          <w:tcPr>
            <w:tcW w:w="4765" w:type="dxa"/>
            <w:shd w:val="clear" w:color="auto" w:fill="FFFFFF" w:themeFill="background1"/>
          </w:tcPr>
          <w:p w:rsidR="00FF7543" w:rsidRDefault="00FF7543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F7543" w:rsidRPr="00EE67DD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01B2F" w:rsidTr="00C526F7">
        <w:tc>
          <w:tcPr>
            <w:tcW w:w="4765" w:type="dxa"/>
            <w:shd w:val="clear" w:color="auto" w:fill="FFFFFF" w:themeFill="background1"/>
          </w:tcPr>
          <w:p w:rsidR="00B01B2F" w:rsidRDefault="00B01B2F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1B2F" w:rsidRPr="00EE67DD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01B2F" w:rsidTr="00C526F7">
        <w:tc>
          <w:tcPr>
            <w:tcW w:w="4765" w:type="dxa"/>
            <w:shd w:val="clear" w:color="auto" w:fill="FFFFFF" w:themeFill="background1"/>
          </w:tcPr>
          <w:p w:rsidR="00B01B2F" w:rsidRDefault="00B01B2F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01B2F" w:rsidRPr="00EE67DD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B01B2F" w:rsidRPr="00E67D37" w:rsidRDefault="00B01B2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8C34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C344A">
              <w:rPr>
                <w:b/>
                <w:sz w:val="20"/>
                <w:szCs w:val="20"/>
              </w:rPr>
              <w:t xml:space="preserve">isfy </w:t>
            </w:r>
            <w:r w:rsidR="00841BBF">
              <w:rPr>
                <w:b/>
                <w:sz w:val="20"/>
                <w:szCs w:val="20"/>
              </w:rPr>
              <w:t>2</w:t>
            </w:r>
            <w:r w:rsidR="00812DB5">
              <w:rPr>
                <w:b/>
                <w:sz w:val="20"/>
                <w:szCs w:val="20"/>
              </w:rPr>
              <w:t xml:space="preserve"> and </w:t>
            </w:r>
            <w:r w:rsidR="008C344A">
              <w:rPr>
                <w:b/>
                <w:sz w:val="20"/>
                <w:szCs w:val="20"/>
              </w:rPr>
              <w:t>5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C344A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618F9" w:rsidP="000130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Energy Sys – </w:t>
            </w:r>
            <w:r w:rsidR="0001305E">
              <w:rPr>
                <w:b/>
                <w:sz w:val="18"/>
                <w:szCs w:val="18"/>
              </w:rPr>
              <w:t>Mechanical</w:t>
            </w:r>
            <w:r w:rsidR="00FF17C3">
              <w:rPr>
                <w:b/>
                <w:sz w:val="18"/>
                <w:szCs w:val="18"/>
              </w:rPr>
              <w:t>,</w:t>
            </w:r>
            <w:r w:rsidR="00F56F0A">
              <w:rPr>
                <w:b/>
                <w:sz w:val="18"/>
                <w:szCs w:val="18"/>
              </w:rPr>
              <w:t xml:space="preserve"> </w:t>
            </w:r>
            <w:r w:rsidR="008C344A">
              <w:rPr>
                <w:b/>
                <w:sz w:val="18"/>
                <w:szCs w:val="18"/>
              </w:rPr>
              <w:t>ITC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8C344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D4D0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D4D05" w:rsidP="00F34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 w:rsidR="00F34B26">
              <w:rPr>
                <w:sz w:val="18"/>
                <w:szCs w:val="18"/>
              </w:rPr>
              <w:t xml:space="preserve">ET 0100L: Engineering Technology Orientation Lab </w:t>
            </w:r>
          </w:p>
        </w:tc>
        <w:tc>
          <w:tcPr>
            <w:tcW w:w="720" w:type="dxa"/>
          </w:tcPr>
          <w:p w:rsidR="00B60C98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0121: Basic Electricity and Electronics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8C344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0121L: Basic Electricity and Electronics Lab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0122: Electrical Systems and Motor Control Theory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C301D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0122L: Electrical Systems and Motor Control Theory Lab</w:t>
            </w:r>
          </w:p>
        </w:tc>
        <w:tc>
          <w:tcPr>
            <w:tcW w:w="720" w:type="dxa"/>
          </w:tcPr>
          <w:p w:rsidR="00B60C98" w:rsidRPr="001F656B" w:rsidRDefault="00C301D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0123: Mechanical Power Transmission</w:t>
            </w:r>
          </w:p>
        </w:tc>
        <w:tc>
          <w:tcPr>
            <w:tcW w:w="720" w:type="dxa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0123L: Mechanical Power Transmission Lab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  <w:r w:rsidR="008C344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0125: Introduction to Structural Welding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CD4D05" w:rsidP="008C3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0126: Introduction to Mechanical Drafting and CAD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0127: Mechanical Power Transmission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0D4BBF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0127L: Mechanical Power Transmission Lab II</w:t>
            </w:r>
          </w:p>
        </w:tc>
        <w:tc>
          <w:tcPr>
            <w:tcW w:w="720" w:type="dxa"/>
          </w:tcPr>
          <w:p w:rsidR="00B60C98" w:rsidRPr="001F656B" w:rsidRDefault="000D4BB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0D4BBF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0140: Applied Technical Intermediate Algebra</w:t>
            </w:r>
          </w:p>
        </w:tc>
        <w:tc>
          <w:tcPr>
            <w:tcW w:w="720" w:type="dxa"/>
          </w:tcPr>
          <w:p w:rsidR="001C535C" w:rsidRPr="001F656B" w:rsidRDefault="000D4BBF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8C344A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0D4BB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C344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C344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8C344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8C344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8C344A">
              <w:rPr>
                <w:sz w:val="18"/>
                <w:szCs w:val="20"/>
              </w:rPr>
              <w:t>3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8C344A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32</w:t>
            </w:r>
            <w:r w:rsidR="00714F1E"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register concurrently for the lab course associated with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theory course.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D95"/>
    <w:rsid w:val="000059E7"/>
    <w:rsid w:val="0001305E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A6888"/>
    <w:rsid w:val="000B6EFB"/>
    <w:rsid w:val="000C4C05"/>
    <w:rsid w:val="000D3B74"/>
    <w:rsid w:val="000D4BBF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00173"/>
    <w:rsid w:val="00221773"/>
    <w:rsid w:val="00243804"/>
    <w:rsid w:val="00267812"/>
    <w:rsid w:val="002752DE"/>
    <w:rsid w:val="00280903"/>
    <w:rsid w:val="00292C65"/>
    <w:rsid w:val="00294674"/>
    <w:rsid w:val="002A1B37"/>
    <w:rsid w:val="002A64DB"/>
    <w:rsid w:val="002B600D"/>
    <w:rsid w:val="002C6294"/>
    <w:rsid w:val="002D4F2A"/>
    <w:rsid w:val="002D5957"/>
    <w:rsid w:val="002D6A83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EF0"/>
    <w:rsid w:val="004E2E3C"/>
    <w:rsid w:val="00502B63"/>
    <w:rsid w:val="005051B8"/>
    <w:rsid w:val="005159F3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4F94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B41B5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C344A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9C5B29"/>
    <w:rsid w:val="00A14EEF"/>
    <w:rsid w:val="00A25F87"/>
    <w:rsid w:val="00A3318E"/>
    <w:rsid w:val="00A40CF8"/>
    <w:rsid w:val="00A513C9"/>
    <w:rsid w:val="00A618F9"/>
    <w:rsid w:val="00A73D2C"/>
    <w:rsid w:val="00A94A30"/>
    <w:rsid w:val="00A961BE"/>
    <w:rsid w:val="00AA1DB7"/>
    <w:rsid w:val="00AB07CA"/>
    <w:rsid w:val="00AB7151"/>
    <w:rsid w:val="00AC15BC"/>
    <w:rsid w:val="00AC4816"/>
    <w:rsid w:val="00AC5A04"/>
    <w:rsid w:val="00B01B2F"/>
    <w:rsid w:val="00B36005"/>
    <w:rsid w:val="00B3748F"/>
    <w:rsid w:val="00B60C98"/>
    <w:rsid w:val="00B61C40"/>
    <w:rsid w:val="00B67A57"/>
    <w:rsid w:val="00B94B61"/>
    <w:rsid w:val="00BA1F3D"/>
    <w:rsid w:val="00BA2629"/>
    <w:rsid w:val="00BA5F08"/>
    <w:rsid w:val="00BA7BDE"/>
    <w:rsid w:val="00BB570D"/>
    <w:rsid w:val="00BB7709"/>
    <w:rsid w:val="00BC0FEE"/>
    <w:rsid w:val="00BD4731"/>
    <w:rsid w:val="00BD787A"/>
    <w:rsid w:val="00BE2E26"/>
    <w:rsid w:val="00BE4066"/>
    <w:rsid w:val="00BF6768"/>
    <w:rsid w:val="00C04A5A"/>
    <w:rsid w:val="00C17DB2"/>
    <w:rsid w:val="00C20451"/>
    <w:rsid w:val="00C268BE"/>
    <w:rsid w:val="00C301D4"/>
    <w:rsid w:val="00C35E9C"/>
    <w:rsid w:val="00C47DAC"/>
    <w:rsid w:val="00C526F7"/>
    <w:rsid w:val="00C53770"/>
    <w:rsid w:val="00C5605B"/>
    <w:rsid w:val="00C60DCF"/>
    <w:rsid w:val="00C733E4"/>
    <w:rsid w:val="00C7700A"/>
    <w:rsid w:val="00C879BC"/>
    <w:rsid w:val="00C90302"/>
    <w:rsid w:val="00CA528E"/>
    <w:rsid w:val="00CC7589"/>
    <w:rsid w:val="00CD01B3"/>
    <w:rsid w:val="00CD0B7C"/>
    <w:rsid w:val="00CD4D05"/>
    <w:rsid w:val="00CF321F"/>
    <w:rsid w:val="00CF66F8"/>
    <w:rsid w:val="00D27DAF"/>
    <w:rsid w:val="00D30A41"/>
    <w:rsid w:val="00D327FB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EE67DD"/>
    <w:rsid w:val="00F02567"/>
    <w:rsid w:val="00F04609"/>
    <w:rsid w:val="00F34B26"/>
    <w:rsid w:val="00F4069D"/>
    <w:rsid w:val="00F5131F"/>
    <w:rsid w:val="00F56F0A"/>
    <w:rsid w:val="00F74EE3"/>
    <w:rsid w:val="00F84E02"/>
    <w:rsid w:val="00F859C0"/>
    <w:rsid w:val="00FA2AC6"/>
    <w:rsid w:val="00FB2E30"/>
    <w:rsid w:val="00FC0287"/>
    <w:rsid w:val="00FD4C7A"/>
    <w:rsid w:val="00FF17C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F7E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2018-04-19T17:20:00Z</cp:lastPrinted>
  <dcterms:created xsi:type="dcterms:W3CDTF">2018-05-14T17:32:00Z</dcterms:created>
  <dcterms:modified xsi:type="dcterms:W3CDTF">2018-05-14T17:38:00Z</dcterms:modified>
</cp:coreProperties>
</file>