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C04E7B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Default="00D166E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Automotive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54BF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66E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54BF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C04E7B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Default="00D166E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Automotive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54BF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66E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54BF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397219">
        <w:tc>
          <w:tcPr>
            <w:tcW w:w="4050" w:type="dxa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45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166E9" w:rsidRPr="00AB6F5D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397219">
        <w:tc>
          <w:tcPr>
            <w:tcW w:w="4050" w:type="dxa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45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166E9" w:rsidRPr="00AB6F5D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397219">
        <w:tc>
          <w:tcPr>
            <w:tcW w:w="4050" w:type="dxa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D166E9" w:rsidRDefault="00D166E9" w:rsidP="00D166E9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0100E, 0100M, 0100S</w:t>
            </w: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700B0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B156E">
        <w:tc>
          <w:tcPr>
            <w:tcW w:w="4050" w:type="dxa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45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166E9" w:rsidRPr="009446E2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0110M</w:t>
            </w:r>
          </w:p>
        </w:tc>
        <w:tc>
          <w:tcPr>
            <w:tcW w:w="2430" w:type="dxa"/>
          </w:tcPr>
          <w:p w:rsidR="00D166E9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D166E9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166E9" w:rsidRDefault="00D166E9" w:rsidP="00D166E9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Default="00D166E9" w:rsidP="00D166E9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0106, AUTM 0120</w:t>
            </w:r>
          </w:p>
        </w:tc>
      </w:tr>
      <w:tr w:rsidR="00D166E9" w:rsidTr="00D166E9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Default="00D166E9" w:rsidP="00D166E9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0105, AUTM 0120</w:t>
            </w:r>
          </w:p>
        </w:tc>
      </w:tr>
      <w:tr w:rsidR="00D166E9" w:rsidTr="00D166E9">
        <w:tc>
          <w:tcPr>
            <w:tcW w:w="4050" w:type="dxa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45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5F1064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74127F" w:rsidRDefault="00D166E9" w:rsidP="00D166E9">
            <w:pPr>
              <w:pStyle w:val="NoSpacing"/>
              <w:rPr>
                <w:sz w:val="16"/>
                <w:szCs w:val="16"/>
              </w:rPr>
            </w:pPr>
            <w:r w:rsidRPr="0074127F">
              <w:rPr>
                <w:sz w:val="16"/>
                <w:szCs w:val="16"/>
              </w:rPr>
              <w:t>AUTM 0101, AUTM 0105, AUTM 0106</w:t>
            </w: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166E9" w:rsidTr="00686401"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C87FAA">
        <w:tc>
          <w:tcPr>
            <w:tcW w:w="4050" w:type="dxa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45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166E9" w:rsidRPr="00817531" w:rsidRDefault="00D166E9" w:rsidP="00D166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AUTM 0107, AUTM 0108</w:t>
            </w:r>
          </w:p>
        </w:tc>
      </w:tr>
      <w:tr w:rsidR="00D166E9" w:rsidTr="00C87FAA">
        <w:trPr>
          <w:trHeight w:val="110"/>
        </w:trPr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166E9" w:rsidRDefault="00D166E9" w:rsidP="00D166E9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166E9" w:rsidRPr="00E51F21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51F21" w:rsidRDefault="00D166E9" w:rsidP="00D166E9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0108</w:t>
            </w:r>
          </w:p>
        </w:tc>
      </w:tr>
      <w:tr w:rsidR="00D166E9" w:rsidTr="00C87FAA"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166E9" w:rsidRDefault="00D166E9" w:rsidP="00D166E9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D166E9" w:rsidRPr="00E51F21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51F21" w:rsidRDefault="00D166E9" w:rsidP="00D166E9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0107</w:t>
            </w: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194BA6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166E9" w:rsidTr="008805C8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194BA6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8805C8">
        <w:tc>
          <w:tcPr>
            <w:tcW w:w="4050" w:type="dxa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Su</w:t>
            </w: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color w:val="000000" w:themeColor="text1"/>
                <w:sz w:val="16"/>
                <w:szCs w:val="16"/>
              </w:rPr>
              <w:t xml:space="preserve">AUTM 0100E, AUTM 0100M, AUTM 0100S, </w:t>
            </w:r>
            <w:hyperlink r:id="rId9">
              <w:r w:rsidRPr="00E51F21">
                <w:rPr>
                  <w:color w:val="000000" w:themeColor="text1"/>
                  <w:sz w:val="16"/>
                  <w:szCs w:val="16"/>
                </w:rPr>
                <w:t>AUTM 0101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10">
              <w:r w:rsidRPr="00E51F21">
                <w:rPr>
                  <w:color w:val="000000" w:themeColor="text1"/>
                  <w:sz w:val="16"/>
                  <w:szCs w:val="16"/>
                </w:rPr>
                <w:t>AUTM 0102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</w:t>
            </w:r>
            <w:r w:rsidRPr="00E51F21">
              <w:rPr>
                <w:color w:val="333333"/>
                <w:sz w:val="16"/>
                <w:szCs w:val="16"/>
              </w:rPr>
              <w:t xml:space="preserve"> </w:t>
            </w:r>
            <w:hyperlink r:id="rId11">
              <w:r w:rsidRPr="00E51F21">
                <w:rPr>
                  <w:color w:val="000000" w:themeColor="text1"/>
                  <w:sz w:val="16"/>
                  <w:szCs w:val="16"/>
                </w:rPr>
                <w:t>AUTM 0105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12">
              <w:r w:rsidRPr="00E51F21">
                <w:rPr>
                  <w:color w:val="000000" w:themeColor="text1"/>
                  <w:sz w:val="16"/>
                  <w:szCs w:val="16"/>
                </w:rPr>
                <w:t>AUTM 0106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 AUTM 0120</w:t>
            </w: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D42DE8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292C65" w:rsidRDefault="00D166E9" w:rsidP="00D166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166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vAlign w:val="bottom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166E9" w:rsidTr="00686401">
        <w:tc>
          <w:tcPr>
            <w:tcW w:w="4050" w:type="dxa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194BA6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166E9" w:rsidTr="00686401">
        <w:tc>
          <w:tcPr>
            <w:tcW w:w="4050" w:type="dxa"/>
          </w:tcPr>
          <w:p w:rsidR="00D166E9" w:rsidRPr="00BA262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166E9" w:rsidRPr="00BA2629" w:rsidRDefault="00D166E9" w:rsidP="00D166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166E9" w:rsidRPr="00473C19" w:rsidRDefault="00D166E9" w:rsidP="00D166E9">
            <w:pPr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166E9" w:rsidRPr="00E67D37" w:rsidRDefault="00D166E9" w:rsidP="00D166E9">
            <w:pPr>
              <w:pStyle w:val="NoSpacing"/>
              <w:rPr>
                <w:sz w:val="16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686401">
        <w:tc>
          <w:tcPr>
            <w:tcW w:w="4050" w:type="dxa"/>
            <w:shd w:val="clear" w:color="auto" w:fill="F2F2F2" w:themeFill="background1" w:themeFillShade="F2"/>
          </w:tcPr>
          <w:p w:rsidR="00D166E9" w:rsidRPr="00B67A57" w:rsidRDefault="00D166E9" w:rsidP="00D166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</w:p>
        </w:tc>
      </w:tr>
      <w:tr w:rsidR="00D166E9" w:rsidTr="00B00D09">
        <w:trPr>
          <w:trHeight w:val="275"/>
        </w:trPr>
        <w:tc>
          <w:tcPr>
            <w:tcW w:w="11070" w:type="dxa"/>
            <w:gridSpan w:val="9"/>
          </w:tcPr>
          <w:p w:rsidR="00D166E9" w:rsidRPr="00943870" w:rsidRDefault="00D166E9" w:rsidP="00D166E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166E9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166E9" w:rsidRPr="00C04A5A" w:rsidRDefault="00D166E9" w:rsidP="00D166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D166E9" w:rsidP="00C04E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C04E7B">
              <w:rPr>
                <w:b/>
                <w:sz w:val="24"/>
                <w:szCs w:val="24"/>
              </w:rPr>
              <w:t>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166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166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D166E9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166E9" w:rsidRPr="00B60C98" w:rsidTr="003A4530">
        <w:tc>
          <w:tcPr>
            <w:tcW w:w="4860" w:type="dxa"/>
            <w:shd w:val="clear" w:color="auto" w:fill="auto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</w:t>
            </w:r>
            <w:bookmarkStart w:id="0" w:name="_GoBack"/>
            <w:bookmarkEnd w:id="0"/>
            <w:r>
              <w:rPr>
                <w:sz w:val="16"/>
                <w:szCs w:val="16"/>
              </w:rPr>
              <w:t>0E: Electrical Systems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3A4530"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166E9" w:rsidRPr="00B60C98" w:rsidTr="003A4530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540" w:type="dxa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166E9" w:rsidRPr="00B60C98" w:rsidTr="003A4530">
        <w:trPr>
          <w:trHeight w:val="248"/>
        </w:trPr>
        <w:tc>
          <w:tcPr>
            <w:tcW w:w="4860" w:type="dxa"/>
            <w:shd w:val="clear" w:color="auto" w:fill="auto"/>
          </w:tcPr>
          <w:p w:rsidR="00D166E9" w:rsidRPr="00E67D37" w:rsidRDefault="00D166E9" w:rsidP="00D166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166E9" w:rsidRPr="00B60C98" w:rsidTr="00F64F3C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166E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94BA6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540" w:type="dxa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540" w:type="dxa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248"/>
        </w:trPr>
        <w:tc>
          <w:tcPr>
            <w:tcW w:w="4860" w:type="dxa"/>
            <w:shd w:val="clear" w:color="auto" w:fill="auto"/>
          </w:tcPr>
          <w:p w:rsidR="00D166E9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166E9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214C23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292C65" w:rsidRDefault="00D166E9" w:rsidP="00D16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6E9" w:rsidRPr="00292C65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166E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BA2629" w:rsidRDefault="00D166E9" w:rsidP="00D166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166E9" w:rsidRPr="00B60C98" w:rsidTr="00045FEF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166E9" w:rsidRPr="00BA2629" w:rsidRDefault="00D166E9" w:rsidP="00D166E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540" w:type="dxa"/>
            <w:vAlign w:val="center"/>
          </w:tcPr>
          <w:p w:rsidR="00D166E9" w:rsidRPr="00E67D37" w:rsidRDefault="00D166E9" w:rsidP="00D166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166E9" w:rsidRPr="00B60C98" w:rsidRDefault="00D166E9" w:rsidP="00D16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2C6294" w:rsidRDefault="00D166E9" w:rsidP="00D166E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2C6294" w:rsidRDefault="00D166E9" w:rsidP="00D166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166E9" w:rsidRDefault="00D166E9" w:rsidP="00D16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3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166E9" w:rsidRPr="002B6A71" w:rsidRDefault="00D166E9" w:rsidP="00D166E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E14260" w:rsidRDefault="00D166E9" w:rsidP="00D166E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166E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66E9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</w:p>
        </w:tc>
      </w:tr>
      <w:tr w:rsidR="00D166E9" w:rsidRPr="00B60C98" w:rsidTr="003A6CAF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66E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E9" w:rsidRPr="001F656B" w:rsidRDefault="00D166E9" w:rsidP="00D16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166E9" w:rsidRPr="00B60C98" w:rsidRDefault="00D166E9" w:rsidP="00D166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166E9" w:rsidRPr="004C0486" w:rsidRDefault="00D166E9" w:rsidP="00D166E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166E9" w:rsidRPr="008C01E4" w:rsidRDefault="00D166E9" w:rsidP="00D166E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166E9" w:rsidRPr="004C0486" w:rsidRDefault="00D166E9" w:rsidP="00D166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166E9" w:rsidRDefault="00D166E9" w:rsidP="00D166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166E9" w:rsidRPr="004C0486" w:rsidRDefault="00D166E9" w:rsidP="00D166E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  <w:tr w:rsidR="00D166E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66E9" w:rsidRPr="001F656B" w:rsidRDefault="00D166E9" w:rsidP="00D166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66E9" w:rsidRPr="00521695" w:rsidRDefault="00D166E9" w:rsidP="00D166E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166E9" w:rsidRPr="00B60C98" w:rsidRDefault="00D166E9" w:rsidP="00D166E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166E9">
        <w:rPr>
          <w:rFonts w:ascii="Calibri" w:eastAsia="Times New Roman" w:hAnsi="Calibri" w:cs="Times New Roman"/>
          <w:sz w:val="20"/>
          <w:szCs w:val="20"/>
        </w:rPr>
        <w:t>AAS, Automotive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4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FA" w:rsidRDefault="00054BFA" w:rsidP="008518ED">
      <w:pPr>
        <w:spacing w:after="0" w:line="240" w:lineRule="auto"/>
      </w:pPr>
      <w:r>
        <w:separator/>
      </w:r>
    </w:p>
  </w:endnote>
  <w:endnote w:type="continuationSeparator" w:id="0">
    <w:p w:rsidR="00054BFA" w:rsidRDefault="00054BF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FA" w:rsidRDefault="00054BFA" w:rsidP="008518ED">
      <w:pPr>
        <w:spacing w:after="0" w:line="240" w:lineRule="auto"/>
      </w:pPr>
      <w:r>
        <w:separator/>
      </w:r>
    </w:p>
  </w:footnote>
  <w:footnote w:type="continuationSeparator" w:id="0">
    <w:p w:rsidR="00054BFA" w:rsidRDefault="00054BF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4BFA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72F1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4FD7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938E3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04E7B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166E9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6743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AUTM%2001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AUTM%2001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ursecat.isu.edu/search/?P=AUTM%200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AUTM%20010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201F-D3B8-417E-A235-307B338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2020-02-12T21:34:00Z</dcterms:created>
  <dcterms:modified xsi:type="dcterms:W3CDTF">2021-05-07T17:39:00Z</dcterms:modified>
</cp:coreProperties>
</file>