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7496A" w:rsidRPr="00DD67D4" w:rsidRDefault="0007496A" w:rsidP="000749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Catalog Year 201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9-2020</w:t>
                                  </w:r>
                                </w:p>
                                <w:p w:rsidR="0007496A" w:rsidRPr="00DD67D4" w:rsidRDefault="0007496A" w:rsidP="000749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A.S. Paramedic Science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D128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D128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7496A" w:rsidRPr="00DD67D4" w:rsidRDefault="0007496A" w:rsidP="000749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  <w:p w:rsidR="0007496A" w:rsidRPr="00DD67D4" w:rsidRDefault="0007496A" w:rsidP="000749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A.S. Paramedic Science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D128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D128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35"/>
        <w:gridCol w:w="452"/>
        <w:gridCol w:w="542"/>
        <w:gridCol w:w="722"/>
        <w:gridCol w:w="21"/>
        <w:gridCol w:w="701"/>
        <w:gridCol w:w="2162"/>
        <w:gridCol w:w="1433"/>
        <w:gridCol w:w="90"/>
        <w:gridCol w:w="180"/>
        <w:gridCol w:w="90"/>
        <w:gridCol w:w="180"/>
        <w:gridCol w:w="180"/>
        <w:gridCol w:w="282"/>
      </w:tblGrid>
      <w:tr w:rsidR="00BD787A" w:rsidTr="001645AD">
        <w:tc>
          <w:tcPr>
            <w:tcW w:w="403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2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2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2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7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07496A" w:rsidTr="0007496A">
        <w:tc>
          <w:tcPr>
            <w:tcW w:w="11070" w:type="dxa"/>
            <w:gridSpan w:val="14"/>
            <w:shd w:val="clear" w:color="auto" w:fill="F2F2F2" w:themeFill="background1" w:themeFillShade="F2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rPr>
                <w:b/>
                <w:sz w:val="12"/>
                <w:szCs w:val="16"/>
              </w:rPr>
            </w:pPr>
            <w:r w:rsidRPr="00CC6186">
              <w:rPr>
                <w:b/>
                <w:sz w:val="16"/>
                <w:szCs w:val="16"/>
              </w:rPr>
              <w:t>Pre-Professional Training (must be complete before Paramedic cohort begins) Offered through Workforce Training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EMTB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CPR-BLS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645AD">
        <w:tc>
          <w:tcPr>
            <w:tcW w:w="403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7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5:  BIOL 1101, 1101L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F, S, Su</w:t>
            </w: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  <w:r w:rsidRPr="0007496A">
              <w:rPr>
                <w:sz w:val="14"/>
                <w:szCs w:val="16"/>
              </w:rPr>
              <w:t xml:space="preserve">Placement </w:t>
            </w:r>
            <w:r w:rsidRPr="0007496A">
              <w:rPr>
                <w:b/>
                <w:sz w:val="18"/>
                <w:szCs w:val="16"/>
              </w:rPr>
              <w:t>into</w:t>
            </w:r>
            <w:r w:rsidRPr="0007496A">
              <w:rPr>
                <w:sz w:val="14"/>
                <w:szCs w:val="16"/>
              </w:rPr>
              <w:t xml:space="preserve"> MATH 1108</w:t>
            </w: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HCA 2210 or </w:t>
            </w:r>
            <w:r>
              <w:rPr>
                <w:sz w:val="16"/>
                <w:szCs w:val="16"/>
              </w:rPr>
              <w:t>HE</w:t>
            </w:r>
            <w:r w:rsidRPr="004A0E92">
              <w:rPr>
                <w:sz w:val="16"/>
                <w:szCs w:val="16"/>
              </w:rPr>
              <w:t>2210</w:t>
            </w:r>
            <w:r>
              <w:rPr>
                <w:sz w:val="16"/>
                <w:szCs w:val="16"/>
              </w:rPr>
              <w:t xml:space="preserve"> Medical Terminology or HO 0106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</w:t>
            </w:r>
            <w:r w:rsidRPr="0007496A">
              <w:rPr>
                <w:sz w:val="14"/>
                <w:szCs w:val="16"/>
              </w:rPr>
              <w:t>(Recommend Math 1153 if going on to BS)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4: </w:t>
            </w:r>
            <w:r w:rsidRPr="002F0B17">
              <w:rPr>
                <w:bCs/>
                <w:sz w:val="16"/>
                <w:szCs w:val="16"/>
              </w:rPr>
              <w:t xml:space="preserve"> Humanistic and Artistic Ways of Knowing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645AD">
        <w:tc>
          <w:tcPr>
            <w:tcW w:w="403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  <w:gridSpan w:val="7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  <w:r w:rsidRPr="004A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</w:t>
            </w:r>
            <w:r w:rsidRPr="004A0E92">
              <w:rPr>
                <w:sz w:val="16"/>
                <w:szCs w:val="16"/>
              </w:rPr>
              <w:t>Anatomy and Physiology and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07496A" w:rsidRDefault="0007496A" w:rsidP="0007496A">
            <w:pPr>
              <w:rPr>
                <w:sz w:val="14"/>
                <w:szCs w:val="16"/>
                <w:vertAlign w:val="superscript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  <w:tc>
          <w:tcPr>
            <w:tcW w:w="2435" w:type="dxa"/>
            <w:gridSpan w:val="7"/>
          </w:tcPr>
          <w:p w:rsidR="0007496A" w:rsidRPr="0007496A" w:rsidRDefault="0007496A" w:rsidP="0007496A">
            <w:pPr>
              <w:pStyle w:val="NoSpacing"/>
              <w:rPr>
                <w:sz w:val="14"/>
                <w:szCs w:val="16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Objective: 7 or 8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Critical Thinking</w:t>
            </w:r>
            <w:r>
              <w:rPr>
                <w:sz w:val="16"/>
                <w:szCs w:val="16"/>
              </w:rPr>
              <w:t xml:space="preserve"> or</w:t>
            </w:r>
            <w:r>
              <w:t xml:space="preserve"> </w:t>
            </w:r>
            <w:r>
              <w:rPr>
                <w:sz w:val="16"/>
                <w:szCs w:val="16"/>
              </w:rPr>
              <w:t>Info</w:t>
            </w:r>
            <w:r w:rsidRPr="002F0B17">
              <w:rPr>
                <w:sz w:val="16"/>
                <w:szCs w:val="16"/>
              </w:rPr>
              <w:t xml:space="preserve"> Literacy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6: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Pr="00E67D37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1645AD" w:rsidTr="001645AD">
        <w:tc>
          <w:tcPr>
            <w:tcW w:w="4035" w:type="dxa"/>
            <w:shd w:val="clear" w:color="auto" w:fill="FFFFFF" w:themeFill="background1"/>
          </w:tcPr>
          <w:p w:rsidR="001645AD" w:rsidRPr="002F0B17" w:rsidRDefault="001645AD" w:rsidP="001645AD">
            <w:pPr>
              <w:rPr>
                <w:b/>
                <w:bCs/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4</w:t>
            </w:r>
            <w:r w:rsidRPr="002F0B17">
              <w:rPr>
                <w:sz w:val="16"/>
                <w:szCs w:val="16"/>
              </w:rPr>
              <w:t xml:space="preserve">: </w:t>
            </w:r>
            <w:r w:rsidRPr="002F0B17">
              <w:rPr>
                <w:bCs/>
                <w:sz w:val="16"/>
                <w:szCs w:val="16"/>
              </w:rPr>
              <w:t>Humanistic and Artistic Ways of Knowing</w:t>
            </w:r>
          </w:p>
        </w:tc>
        <w:tc>
          <w:tcPr>
            <w:tcW w:w="452" w:type="dxa"/>
            <w:shd w:val="clear" w:color="auto" w:fill="FFFFFF" w:themeFill="background1"/>
          </w:tcPr>
          <w:p w:rsidR="001645AD" w:rsidRPr="004A0E92" w:rsidRDefault="001645AD" w:rsidP="001645AD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4035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645AD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Default="001645AD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2211 Basic ECG Interpretation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595" w:type="dxa"/>
            <w:gridSpan w:val="2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1002" w:type="dxa"/>
            <w:gridSpan w:val="6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2212 Paramedic Pharmacology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2213,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 Paramedic Fundamentals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2213L  Paramedic Fundamentals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2217L</w:t>
            </w:r>
          </w:p>
        </w:tc>
      </w:tr>
      <w:tr w:rsidR="0007496A" w:rsidTr="001645AD">
        <w:trPr>
          <w:trHeight w:val="110"/>
        </w:trPr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2214 Paramedic Pathophysiology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55" w:type="dxa"/>
            <w:gridSpan w:val="5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642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2215 Introduction to Paramedic Medicine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2217L Paramedic Integration I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2213L</w:t>
            </w: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right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74E76">
              <w:rPr>
                <w:sz w:val="16"/>
                <w:szCs w:val="16"/>
              </w:rPr>
              <w:t xml:space="preserve">      Total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1645A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 Medical Emergencies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2211, PARM 2212, PARM 2213, PARM 2213L, and PARM 2215, and 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2221L Medical Emergencies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</w:t>
            </w:r>
          </w:p>
        </w:tc>
      </w:tr>
      <w:tr w:rsidR="0007496A" w:rsidTr="001645AD">
        <w:tc>
          <w:tcPr>
            <w:tcW w:w="4035" w:type="dxa"/>
          </w:tcPr>
          <w:p w:rsidR="0007496A" w:rsidRPr="001F53F8" w:rsidRDefault="0007496A" w:rsidP="0007496A">
            <w:pPr>
              <w:rPr>
                <w:color w:val="FF0000"/>
                <w:sz w:val="16"/>
                <w:szCs w:val="16"/>
              </w:rPr>
            </w:pPr>
            <w:r w:rsidRPr="001F53F8">
              <w:rPr>
                <w:sz w:val="16"/>
                <w:szCs w:val="16"/>
              </w:rPr>
              <w:t>PARM 2222 Trauma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ind w:right="-194"/>
              <w:rPr>
                <w:sz w:val="12"/>
              </w:rPr>
            </w:pPr>
            <w:r w:rsidRPr="00C44C50">
              <w:rPr>
                <w:sz w:val="12"/>
              </w:rPr>
              <w:t>PARM 2213, PARM 2213L, PARM 2214,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ind w:right="-194" w:hanging="16"/>
              <w:rPr>
                <w:sz w:val="12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2223 Advanced Emergency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2213 and PARM 2213L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 Special Populations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2224L  Special Populations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2225 Advanced ECG Interpretation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2211 or permission of instructor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2229 Paramedic Clinical Practicum I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012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  <w:r w:rsidR="0007496A">
              <w:rPr>
                <w:sz w:val="16"/>
                <w:szCs w:val="16"/>
              </w:rPr>
              <w:t xml:space="preserve"> (SUMMER)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2231 Rescue Operations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2237L Paramedic Integration II Lab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2217L, PARM 2221, PARM 2222, and PARM 2223</w:t>
            </w:r>
          </w:p>
        </w:tc>
        <w:tc>
          <w:tcPr>
            <w:tcW w:w="732" w:type="dxa"/>
            <w:gridSpan w:val="4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2239 Paramedic Clinical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4135" w:type="dxa"/>
            <w:gridSpan w:val="6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2229 and acceptance into Paramedic program or permission of instructor</w:t>
            </w:r>
          </w:p>
        </w:tc>
        <w:tc>
          <w:tcPr>
            <w:tcW w:w="462" w:type="dxa"/>
            <w:gridSpan w:val="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1645A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2249 Paramedic Field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15" w:type="dxa"/>
            <w:gridSpan w:val="7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C44C50">
              <w:rPr>
                <w:sz w:val="12"/>
                <w:szCs w:val="16"/>
              </w:rPr>
              <w:t>PARM 2231, PARM 2237L, and PARM 2239, and acceptance into Paramedic program or permission of instructor</w:t>
            </w:r>
          </w:p>
        </w:tc>
        <w:tc>
          <w:tcPr>
            <w:tcW w:w="282" w:type="dxa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- No lab required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Cultural Diversity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C04A5A" w:rsidRDefault="001B3F81" w:rsidP="0007496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9"/>
        <w:gridCol w:w="366"/>
        <w:gridCol w:w="275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645A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220D82" w:rsidRDefault="001645AD" w:rsidP="001645AD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Prerequisites</w:t>
            </w:r>
          </w:p>
        </w:tc>
        <w:tc>
          <w:tcPr>
            <w:tcW w:w="540" w:type="dxa"/>
            <w:shd w:val="clear" w:color="auto" w:fill="auto"/>
          </w:tcPr>
          <w:p w:rsidR="001645AD" w:rsidRPr="00220D82" w:rsidRDefault="001645AD" w:rsidP="0016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0111 &amp; L** Intro Anatomy and Physiology and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1C73C8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HCA/HE 2210/HO 0106 Medical Term and Communication (Pre or Co-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to HO 0111)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5" w:type="dxa"/>
            <w:gridSpan w:val="5"/>
            <w:shd w:val="clear" w:color="auto" w:fill="FDE9D9" w:themeFill="accent6" w:themeFillTint="33"/>
          </w:tcPr>
          <w:p w:rsidR="001645AD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  <w:p w:rsidR="001645AD" w:rsidRPr="00B60C98" w:rsidRDefault="001645AD" w:rsidP="001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Statistics is recommended if continuing with the BS degree</w:t>
            </w:r>
          </w:p>
        </w:tc>
        <w:tc>
          <w:tcPr>
            <w:tcW w:w="275" w:type="dxa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 (pre-program)*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645A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– BLS: Healthcare (pre-program)*</w:t>
            </w:r>
          </w:p>
        </w:tc>
        <w:tc>
          <w:tcPr>
            <w:tcW w:w="540" w:type="dxa"/>
            <w:shd w:val="clear" w:color="auto" w:fill="auto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45AD" w:rsidRPr="00B60C98" w:rsidTr="001645AD">
        <w:tc>
          <w:tcPr>
            <w:tcW w:w="4860" w:type="dxa"/>
            <w:shd w:val="clear" w:color="auto" w:fill="F2F2F2" w:themeFill="background1" w:themeFillShade="F2"/>
          </w:tcPr>
          <w:p w:rsidR="001645AD" w:rsidRPr="00220D82" w:rsidRDefault="001645AD" w:rsidP="001645AD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Paramedic Major Courses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645AD" w:rsidRPr="00220D82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591B7C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2211 Basic ECG Interpretation</w:t>
            </w:r>
          </w:p>
        </w:tc>
        <w:tc>
          <w:tcPr>
            <w:tcW w:w="540" w:type="dxa"/>
          </w:tcPr>
          <w:p w:rsidR="001C73C8" w:rsidRPr="00591B7C" w:rsidRDefault="001C73C8" w:rsidP="001C7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C73C8" w:rsidRPr="00196729" w:rsidRDefault="001C73C8" w:rsidP="001C73C8">
            <w:pPr>
              <w:rPr>
                <w:color w:val="FDE9D9" w:themeColor="accent6" w:themeTint="33"/>
                <w:sz w:val="18"/>
                <w:szCs w:val="18"/>
              </w:rPr>
            </w:pPr>
            <w:r w:rsidRPr="00FE41FC">
              <w:rPr>
                <w:sz w:val="16"/>
                <w:szCs w:val="20"/>
              </w:rPr>
              <w:t>BIOL 1101 Biology I (</w:t>
            </w:r>
            <w:r>
              <w:rPr>
                <w:sz w:val="16"/>
                <w:szCs w:val="20"/>
              </w:rPr>
              <w:t xml:space="preserve">Suggested </w:t>
            </w:r>
            <w:proofErr w:type="spellStart"/>
            <w:r>
              <w:rPr>
                <w:sz w:val="16"/>
                <w:szCs w:val="20"/>
              </w:rPr>
              <w:t>prereq</w:t>
            </w:r>
            <w:proofErr w:type="spellEnd"/>
            <w:r>
              <w:rPr>
                <w:sz w:val="16"/>
                <w:szCs w:val="20"/>
              </w:rPr>
              <w:t xml:space="preserve"> to HO 0111)</w:t>
            </w:r>
            <w:r w:rsidRPr="00FE41FC">
              <w:rPr>
                <w:color w:val="FDE9D9" w:themeColor="accent6" w:themeTint="33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C73C8" w:rsidRPr="00196729" w:rsidRDefault="001C73C8" w:rsidP="001C73C8">
            <w:pPr>
              <w:jc w:val="right"/>
              <w:rPr>
                <w:sz w:val="18"/>
                <w:szCs w:val="18"/>
              </w:rPr>
            </w:pPr>
            <w:r w:rsidRPr="00196729">
              <w:rPr>
                <w:sz w:val="18"/>
                <w:szCs w:val="18"/>
              </w:rPr>
              <w:t>4</w:t>
            </w:r>
          </w:p>
        </w:tc>
      </w:tr>
      <w:tr w:rsidR="001C73C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C73C8" w:rsidRPr="00591B7C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2212 Paramedic Pharmacology</w:t>
            </w:r>
          </w:p>
        </w:tc>
        <w:tc>
          <w:tcPr>
            <w:tcW w:w="540" w:type="dxa"/>
            <w:shd w:val="clear" w:color="auto" w:fill="auto"/>
          </w:tcPr>
          <w:p w:rsidR="001C73C8" w:rsidRPr="00591B7C" w:rsidRDefault="001C73C8" w:rsidP="001C7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C73C8" w:rsidRPr="00220D82" w:rsidRDefault="001C73C8" w:rsidP="001C73C8">
            <w:pPr>
              <w:rPr>
                <w:sz w:val="16"/>
                <w:szCs w:val="18"/>
              </w:rPr>
            </w:pPr>
            <w:r w:rsidRPr="00220D82">
              <w:rPr>
                <w:sz w:val="16"/>
                <w:szCs w:val="18"/>
              </w:rPr>
              <w:t xml:space="preserve">CHEM, GEOL, NTD, PHYS (must be from a different prefix than BIOL)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C73C8" w:rsidRPr="00B60C98" w:rsidRDefault="001C73C8" w:rsidP="001C7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 Paramedic Fundamentals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2213L  Paramedic Fundamentals Lab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645AD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2214 Paramedic Pathophysiology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2215 Introduction to Paramedic Medicine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2217L Paramedic Integration I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 Medical Emergencies</w:t>
            </w:r>
          </w:p>
        </w:tc>
        <w:tc>
          <w:tcPr>
            <w:tcW w:w="540" w:type="dxa"/>
            <w:shd w:val="clear" w:color="auto" w:fill="auto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3"/>
            <w:vMerge w:val="restart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2221L Medical Emergencies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3"/>
            <w:vMerge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60539A" w:rsidRDefault="001645AD" w:rsidP="001645AD">
            <w:pPr>
              <w:rPr>
                <w:color w:val="FF0000"/>
                <w:sz w:val="20"/>
                <w:szCs w:val="20"/>
              </w:rPr>
            </w:pPr>
            <w:r w:rsidRPr="00FE41FC">
              <w:rPr>
                <w:sz w:val="20"/>
                <w:szCs w:val="20"/>
              </w:rPr>
              <w:t>PARM 2222 Trauma Care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2223 Advanced Emergency Care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 Special Populations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2224L  Special Populations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2225 Advanced ECG Interpretation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2C6294" w:rsidRDefault="001645AD" w:rsidP="001645A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2C6294" w:rsidRDefault="001C73C8" w:rsidP="001645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2229 Paramedic Clinical Practicum I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645AD" w:rsidRDefault="001645AD" w:rsidP="001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C73C8" w:rsidRPr="002B6A71" w:rsidRDefault="001C73C8" w:rsidP="001645AD">
            <w:pPr>
              <w:rPr>
                <w:i/>
                <w:sz w:val="16"/>
                <w:szCs w:val="16"/>
              </w:rPr>
            </w:pPr>
            <w:hyperlink r:id="rId10" w:history="1">
              <w:r w:rsidRPr="00554375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2231 Rescue Operations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2237L Paramedic Integration II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2239 Paramedic Clinical Practicum II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A0558F" w:rsidRDefault="001645AD" w:rsidP="001645AD">
            <w:pPr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PARM 2249 Paramedic Field Practicum II</w:t>
            </w:r>
          </w:p>
        </w:tc>
        <w:tc>
          <w:tcPr>
            <w:tcW w:w="540" w:type="dxa"/>
          </w:tcPr>
          <w:p w:rsidR="001645AD" w:rsidRPr="00A0558F" w:rsidRDefault="001645AD" w:rsidP="001645AD">
            <w:pPr>
              <w:jc w:val="right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3C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1C73C8" w:rsidP="0068640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D30A41"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2B2967" w:rsidRDefault="001C73C8" w:rsidP="001C73C8">
            <w:r w:rsidRPr="001C73C8">
              <w:rPr>
                <w:sz w:val="20"/>
              </w:rPr>
              <w:t>*</w:t>
            </w:r>
            <w:r w:rsidRPr="001C73C8">
              <w:rPr>
                <w:sz w:val="16"/>
              </w:rPr>
              <w:t>EMTB a</w:t>
            </w:r>
            <w:r w:rsidRPr="001C73C8">
              <w:rPr>
                <w:sz w:val="16"/>
              </w:rPr>
              <w:t xml:space="preserve">nd CPR-BLS are </w:t>
            </w:r>
            <w:r w:rsidRPr="001C73C8">
              <w:rPr>
                <w:sz w:val="16"/>
              </w:rPr>
              <w:t>requirements offered through Workforce Training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73C8" w:rsidRPr="00B60C98" w:rsidRDefault="001C73C8" w:rsidP="001C73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C73C8" w:rsidRPr="00B60C98" w:rsidTr="003F4A52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B60C98" w:rsidRDefault="001C73C8" w:rsidP="001C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521338">
              <w:rPr>
                <w:sz w:val="16"/>
                <w:szCs w:val="16"/>
              </w:rPr>
              <w:t xml:space="preserve"> </w:t>
            </w:r>
            <w:r w:rsidRPr="00521338">
              <w:rPr>
                <w:sz w:val="18"/>
                <w:szCs w:val="18"/>
              </w:rPr>
              <w:t xml:space="preserve">BIOL 3301&amp;L and BIOL 3302&amp;L are acceptable alternatives but </w:t>
            </w:r>
          </w:p>
          <w:p w:rsidR="001C73C8" w:rsidRPr="00B60C98" w:rsidRDefault="001C73C8" w:rsidP="003F4A52">
            <w:pPr>
              <w:rPr>
                <w:sz w:val="18"/>
                <w:szCs w:val="18"/>
              </w:rPr>
            </w:pPr>
            <w:r w:rsidRPr="00CC6186">
              <w:rPr>
                <w:sz w:val="20"/>
                <w:szCs w:val="20"/>
              </w:rPr>
              <w:t>require BIOL 1101&amp;L as prerequisites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</w:p>
        </w:tc>
      </w:tr>
      <w:tr w:rsidR="001C73C8" w:rsidRPr="00B60C98" w:rsidTr="003F4A52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3103C9" w:rsidRDefault="001C73C8" w:rsidP="001C73C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3C8" w:rsidRPr="003103C9" w:rsidRDefault="001C73C8" w:rsidP="001C73C8">
            <w:pPr>
              <w:rPr>
                <w:sz w:val="20"/>
                <w:szCs w:val="20"/>
              </w:rPr>
            </w:pPr>
            <w:r w:rsidRPr="003103C9">
              <w:rPr>
                <w:sz w:val="20"/>
                <w:szCs w:val="20"/>
              </w:rPr>
              <w:t>BIOL 1101</w:t>
            </w:r>
            <w:r>
              <w:rPr>
                <w:sz w:val="20"/>
                <w:szCs w:val="20"/>
              </w:rPr>
              <w:t>&amp;</w:t>
            </w:r>
            <w:r w:rsidRPr="003103C9">
              <w:rPr>
                <w:sz w:val="20"/>
                <w:szCs w:val="20"/>
              </w:rPr>
              <w:t>L are sugge</w:t>
            </w:r>
            <w:r>
              <w:rPr>
                <w:sz w:val="20"/>
                <w:szCs w:val="20"/>
              </w:rPr>
              <w:t>sted prerequisites to HO 0111</w:t>
            </w:r>
          </w:p>
        </w:tc>
        <w:tc>
          <w:tcPr>
            <w:tcW w:w="2172" w:type="dxa"/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3C8" w:rsidRPr="00B60C98" w:rsidRDefault="001C73C8" w:rsidP="001C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</w:t>
            </w:r>
            <w:r w:rsidRPr="001C73C8">
              <w:rPr>
                <w:b/>
                <w:sz w:val="18"/>
                <w:szCs w:val="18"/>
              </w:rPr>
              <w:t xml:space="preserve">INTO </w:t>
            </w:r>
            <w:r>
              <w:rPr>
                <w:sz w:val="18"/>
                <w:szCs w:val="18"/>
              </w:rPr>
              <w:t>MATH 1108 is a PRE-or-COREQ for BIOL 1101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C73C8" w:rsidRPr="004C0486" w:rsidRDefault="001C73C8" w:rsidP="001C73C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73C8" w:rsidRPr="008C01E4" w:rsidRDefault="001C73C8" w:rsidP="001C73C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73C8" w:rsidRPr="004C0486" w:rsidRDefault="001C73C8" w:rsidP="001C73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73C8" w:rsidRDefault="001C73C8" w:rsidP="001C73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73C8" w:rsidRPr="004C0486" w:rsidRDefault="001C73C8" w:rsidP="001C73C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B60C98" w:rsidRDefault="00814F40" w:rsidP="001C73C8">
            <w:pPr>
              <w:rPr>
                <w:sz w:val="20"/>
                <w:szCs w:val="20"/>
              </w:rPr>
            </w:pPr>
          </w:p>
        </w:tc>
      </w:tr>
    </w:tbl>
    <w:p w:rsidR="001645AD" w:rsidRPr="001C73C8" w:rsidRDefault="001645AD" w:rsidP="001645AD">
      <w:pPr>
        <w:pStyle w:val="NoSpacing"/>
        <w:rPr>
          <w:rFonts w:ascii="Calibri" w:eastAsia="Times New Roman" w:hAnsi="Calibri" w:cs="Times New Roman"/>
          <w:sz w:val="12"/>
          <w:szCs w:val="20"/>
        </w:rPr>
      </w:pPr>
      <w:r w:rsidRPr="001C73C8">
        <w:rPr>
          <w:sz w:val="18"/>
          <w:szCs w:val="28"/>
        </w:rPr>
        <w:t>A.S. Paramedic Science</w:t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="001C73C8">
        <w:rPr>
          <w:rFonts w:ascii="Calibri" w:eastAsia="Times New Roman" w:hAnsi="Calibri" w:cs="Times New Roman"/>
          <w:sz w:val="12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1C73C8">
        <w:rPr>
          <w:rFonts w:ascii="Calibri" w:eastAsia="Times New Roman" w:hAnsi="Calibri" w:cs="Times New Roman"/>
          <w:sz w:val="12"/>
          <w:szCs w:val="20"/>
        </w:rPr>
        <w:t xml:space="preserve">Page 2                                                                                                                                                     </w:t>
      </w:r>
    </w:p>
    <w:p w:rsidR="00631499" w:rsidRPr="00521695" w:rsidRDefault="00631499" w:rsidP="001645AD">
      <w:pPr>
        <w:pStyle w:val="NoSpacing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96A"/>
    <w:rsid w:val="00085859"/>
    <w:rsid w:val="000B6EFB"/>
    <w:rsid w:val="000C4C05"/>
    <w:rsid w:val="000D026C"/>
    <w:rsid w:val="000D3B74"/>
    <w:rsid w:val="000D6D37"/>
    <w:rsid w:val="00121BC3"/>
    <w:rsid w:val="00122166"/>
    <w:rsid w:val="001645AD"/>
    <w:rsid w:val="00170351"/>
    <w:rsid w:val="00193CFE"/>
    <w:rsid w:val="00194BA6"/>
    <w:rsid w:val="001B04E4"/>
    <w:rsid w:val="001B3715"/>
    <w:rsid w:val="001B3F81"/>
    <w:rsid w:val="001B6F46"/>
    <w:rsid w:val="001C3064"/>
    <w:rsid w:val="001C73C8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D128B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1695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BA44-14AC-4BE0-B8FE-793505B4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2020-01-14T00:22:00Z</dcterms:created>
  <dcterms:modified xsi:type="dcterms:W3CDTF">2020-01-14T00:22:00Z</dcterms:modified>
</cp:coreProperties>
</file>