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9551B" w:rsidRPr="00A0716F" w:rsidRDefault="0009551B" w:rsidP="0009551B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C943D4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09551B" w:rsidRDefault="00DD5E89" w:rsidP="0009551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University</w:t>
                                  </w:r>
                                  <w:r w:rsidR="0009551B">
                                    <w:rPr>
                                      <w:szCs w:val="28"/>
                                    </w:rPr>
                                    <w:t xml:space="preserve"> Studies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66E9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943D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66E9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D5E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9551B" w:rsidRPr="00A0716F" w:rsidRDefault="0009551B" w:rsidP="0009551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C943D4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09551B" w:rsidRDefault="00DD5E89" w:rsidP="0009551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University</w:t>
                            </w:r>
                            <w:r w:rsidR="0009551B">
                              <w:rPr>
                                <w:szCs w:val="28"/>
                              </w:rPr>
                              <w:t xml:space="preserve"> Studies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66E9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43D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66E9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5E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C236C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700B07" w:rsidRDefault="00C236C7" w:rsidP="00C236C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E67D37" w:rsidRDefault="00683B40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rPr>
          <w:trHeight w:val="110"/>
        </w:trPr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194BA6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194BA6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292C65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Pr="00292C65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292C65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D42DE8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292C65" w:rsidRDefault="00C236C7" w:rsidP="00C236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236C7" w:rsidTr="009B0B7F">
        <w:tc>
          <w:tcPr>
            <w:tcW w:w="4050" w:type="dxa"/>
            <w:shd w:val="clear" w:color="auto" w:fill="FFFFFF" w:themeFill="background1"/>
            <w:vAlign w:val="bottom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Fine Arts &amp; Humanities or  Social &amp;Behavioral Sciences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236C7" w:rsidRPr="00194BA6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194BA6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9B0B7F">
        <w:tc>
          <w:tcPr>
            <w:tcW w:w="4050" w:type="dxa"/>
            <w:shd w:val="clear" w:color="auto" w:fill="FFFFFF" w:themeFill="background1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vAlign w:val="bottom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A2629" w:rsidRDefault="00C236C7" w:rsidP="00C236C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236C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236C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236C7" w:rsidTr="00C575C4">
        <w:tc>
          <w:tcPr>
            <w:tcW w:w="4050" w:type="dxa"/>
            <w:vAlign w:val="center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from programs in College of Arts and Letters, College 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C236C7" w:rsidRPr="00194BA6" w:rsidRDefault="00C236C7" w:rsidP="00D0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FFFFF" w:themeFill="background1"/>
            <w:vAlign w:val="center"/>
          </w:tcPr>
          <w:p w:rsidR="00C236C7" w:rsidRPr="00194BA6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Business, College of Education, College of Science and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Engineering, or Division of Health Sciences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A2629" w:rsidRDefault="00C236C7" w:rsidP="00C236C7">
            <w:pPr>
              <w:tabs>
                <w:tab w:val="left" w:pos="11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236C7" w:rsidTr="00C236C7">
        <w:tc>
          <w:tcPr>
            <w:tcW w:w="4050" w:type="dxa"/>
            <w:tcBorders>
              <w:bottom w:val="nil"/>
            </w:tcBorders>
            <w:vAlign w:val="center"/>
          </w:tcPr>
          <w:p w:rsidR="00C236C7" w:rsidRPr="00BA2629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from programs in College of Arts and Letters, College </w:t>
            </w:r>
          </w:p>
        </w:tc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C236C7" w:rsidRPr="00BA2629" w:rsidRDefault="00C236C7" w:rsidP="00D07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BA2629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FFFFF" w:themeFill="background1"/>
            <w:vAlign w:val="center"/>
          </w:tcPr>
          <w:p w:rsidR="00C236C7" w:rsidRPr="00BA2629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vMerge w:val="restart"/>
            <w:shd w:val="clear" w:color="auto" w:fill="FFFFFF" w:themeFill="background1"/>
            <w:vAlign w:val="center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tcBorders>
              <w:top w:val="nil"/>
              <w:bottom w:val="nil"/>
            </w:tcBorders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Business, College of Education, College of Science and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  <w:tcBorders>
              <w:top w:val="nil"/>
            </w:tcBorders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Engineering, or Division of Health Sciences</w:t>
            </w:r>
          </w:p>
        </w:tc>
        <w:tc>
          <w:tcPr>
            <w:tcW w:w="450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D07DDB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C236C7" w:rsidRPr="00C04A5A" w:rsidRDefault="00C236C7" w:rsidP="00C236C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236C7" w:rsidTr="00C236C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236C7" w:rsidRDefault="00C236C7" w:rsidP="00C23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236C7" w:rsidRDefault="00C236C7" w:rsidP="00C23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FFFFF" w:themeFill="background1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236C7" w:rsidRPr="00B67A57" w:rsidRDefault="00C236C7" w:rsidP="00C23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236C7" w:rsidRPr="00473C19" w:rsidRDefault="00C236C7" w:rsidP="00C236C7">
            <w:pPr>
              <w:rPr>
                <w:sz w:val="14"/>
                <w:szCs w:val="14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71323" w:rsidRDefault="00C236C7" w:rsidP="00C236C7">
            <w:pPr>
              <w:pStyle w:val="NoSpacing"/>
              <w:rPr>
                <w:sz w:val="12"/>
                <w:szCs w:val="12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236C7" w:rsidRPr="00E67D37" w:rsidRDefault="00C236C7" w:rsidP="00C236C7">
            <w:pPr>
              <w:pStyle w:val="NoSpacing"/>
              <w:rPr>
                <w:sz w:val="16"/>
                <w:szCs w:val="16"/>
              </w:rPr>
            </w:pPr>
          </w:p>
        </w:tc>
      </w:tr>
      <w:tr w:rsidR="00C236C7" w:rsidTr="00C236C7">
        <w:tc>
          <w:tcPr>
            <w:tcW w:w="4050" w:type="dxa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C236C7">
        <w:tc>
          <w:tcPr>
            <w:tcW w:w="4050" w:type="dxa"/>
            <w:shd w:val="clear" w:color="auto" w:fill="F2F2F2" w:themeFill="background1" w:themeFillShade="F2"/>
          </w:tcPr>
          <w:p w:rsidR="00C236C7" w:rsidRPr="00B67A57" w:rsidRDefault="00C236C7" w:rsidP="00C236C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36C7" w:rsidRPr="00E67D37" w:rsidRDefault="00C236C7" w:rsidP="00C236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</w:p>
        </w:tc>
      </w:tr>
      <w:tr w:rsidR="00C236C7" w:rsidTr="00B00D09">
        <w:trPr>
          <w:trHeight w:val="275"/>
        </w:trPr>
        <w:tc>
          <w:tcPr>
            <w:tcW w:w="11070" w:type="dxa"/>
            <w:gridSpan w:val="8"/>
          </w:tcPr>
          <w:p w:rsidR="00C236C7" w:rsidRPr="00943870" w:rsidRDefault="00C236C7" w:rsidP="00C236C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236C7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236C7" w:rsidRPr="00C04A5A" w:rsidRDefault="00C236C7" w:rsidP="00C236C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DD5E8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University</w:t>
            </w:r>
            <w:bookmarkStart w:id="0" w:name="_GoBack"/>
            <w:bookmarkEnd w:id="0"/>
            <w:r w:rsidR="0009551B">
              <w:rPr>
                <w:rFonts w:ascii="Calibri" w:eastAsia="Times New Roman" w:hAnsi="Calibri" w:cs="Times New Roman"/>
                <w:sz w:val="20"/>
                <w:szCs w:val="20"/>
              </w:rPr>
              <w:t xml:space="preserve"> Studies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09551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09551B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51B" w:rsidRPr="00B60C98" w:rsidRDefault="00C943D4" w:rsidP="00095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09551B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551B" w:rsidRPr="00B60C98" w:rsidRDefault="0009551B" w:rsidP="0009551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551B" w:rsidRPr="00B60C98" w:rsidRDefault="0009551B" w:rsidP="0009551B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9551B" w:rsidRPr="00B60C98" w:rsidTr="00C236C7">
        <w:trPr>
          <w:trHeight w:val="212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51B" w:rsidRPr="00D451FC" w:rsidRDefault="0009551B" w:rsidP="0009551B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9551B" w:rsidRPr="00D451FC" w:rsidRDefault="0009551B" w:rsidP="00095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Division credits in the fine arts and humanities and/or 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236C7" w:rsidRPr="001F656B" w:rsidRDefault="00C236C7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236C7" w:rsidRPr="00B60C98" w:rsidRDefault="00C236C7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236C7" w:rsidRPr="00B60C98" w:rsidRDefault="00C236C7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behavioral sciences</w:t>
            </w:r>
          </w:p>
        </w:tc>
        <w:tc>
          <w:tcPr>
            <w:tcW w:w="540" w:type="dxa"/>
            <w:vMerge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9551B" w:rsidRPr="00B60C98" w:rsidTr="00C236C7">
        <w:trPr>
          <w:trHeight w:val="185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09551B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36C7" w:rsidRPr="00B60C98" w:rsidTr="00C236C7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 xml:space="preserve">Upper division credits from programs in the College of Arts and </w:t>
            </w:r>
          </w:p>
        </w:tc>
        <w:tc>
          <w:tcPr>
            <w:tcW w:w="540" w:type="dxa"/>
            <w:vMerge w:val="restart"/>
            <w:vAlign w:val="center"/>
          </w:tcPr>
          <w:p w:rsidR="00C236C7" w:rsidRPr="001F656B" w:rsidRDefault="00C236C7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236C7" w:rsidRPr="00B60C98" w:rsidTr="00C236C7">
        <w:trPr>
          <w:trHeight w:val="248"/>
        </w:trPr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>Letters, College of Business, College of Education, College of</w:t>
            </w:r>
          </w:p>
        </w:tc>
        <w:tc>
          <w:tcPr>
            <w:tcW w:w="540" w:type="dxa"/>
            <w:vMerge/>
            <w:shd w:val="clear" w:color="auto" w:fill="auto"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236C7" w:rsidRPr="00B60C98" w:rsidTr="00C236C7">
        <w:trPr>
          <w:trHeight w:val="247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236C7" w:rsidRPr="001F656B" w:rsidRDefault="00C236C7" w:rsidP="0009551B">
            <w:pPr>
              <w:jc w:val="both"/>
              <w:rPr>
                <w:sz w:val="18"/>
                <w:szCs w:val="18"/>
              </w:rPr>
            </w:pPr>
            <w:r w:rsidRPr="00CE68A3">
              <w:rPr>
                <w:sz w:val="18"/>
                <w:szCs w:val="18"/>
              </w:rPr>
              <w:t>Science and Engineering, or Division of Health Sciences</w:t>
            </w:r>
          </w:p>
        </w:tc>
        <w:tc>
          <w:tcPr>
            <w:tcW w:w="540" w:type="dxa"/>
            <w:vMerge/>
          </w:tcPr>
          <w:p w:rsidR="00C236C7" w:rsidRPr="001F656B" w:rsidRDefault="00C236C7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236C7" w:rsidRPr="00B60C98" w:rsidRDefault="00C236C7" w:rsidP="0009551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Electives across the university</w:t>
            </w: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DD5E89" w:rsidRDefault="00DD5E89" w:rsidP="00DD5E8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 xml:space="preserve">Note: No more than 24 credits from any one program can be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DD5E89" w:rsidRDefault="00DD5E89" w:rsidP="0009551B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>counted</w:t>
            </w:r>
            <w:proofErr w:type="gramEnd"/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FFFFF"/>
              </w:rPr>
              <w:t xml:space="preserve"> as part of the 36 upper division credits above.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9551B" w:rsidRPr="00DD5E89" w:rsidRDefault="00DD5E89" w:rsidP="00DD5E89">
            <w:pPr>
              <w:jc w:val="both"/>
              <w:rPr>
                <w:b/>
                <w:sz w:val="18"/>
                <w:szCs w:val="18"/>
              </w:rPr>
            </w:pPr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9F9F9"/>
              </w:rPr>
              <w:t xml:space="preserve">ACAD, PEAC or DAAC courses may not be used to fulfill major </w:t>
            </w: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DD5E89" w:rsidRDefault="00DD5E89" w:rsidP="0009551B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DD5E89">
              <w:rPr>
                <w:rFonts w:cstheme="minorHAnsi"/>
                <w:b/>
                <w:color w:val="212529"/>
                <w:sz w:val="18"/>
                <w:szCs w:val="18"/>
                <w:shd w:val="clear" w:color="auto" w:fill="F9F9F9"/>
              </w:rPr>
              <w:t>requirements</w:t>
            </w:r>
            <w:proofErr w:type="gramEnd"/>
            <w:r w:rsidRPr="00DD5E89">
              <w:rPr>
                <w:rFonts w:ascii="Helvetica" w:hAnsi="Helvetica" w:cs="Helvetica"/>
                <w:b/>
                <w:color w:val="212529"/>
                <w:shd w:val="clear" w:color="auto" w:fill="F9F9F9"/>
              </w:rPr>
              <w:t>.</w:t>
            </w: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9551B" w:rsidRPr="00B60C98" w:rsidTr="00F926A8">
        <w:tc>
          <w:tcPr>
            <w:tcW w:w="4860" w:type="dxa"/>
            <w:shd w:val="clear" w:color="auto" w:fill="auto"/>
          </w:tcPr>
          <w:p w:rsidR="0009551B" w:rsidRPr="00DD5E89" w:rsidRDefault="0009551B" w:rsidP="0009551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9551B" w:rsidRPr="00B60C98" w:rsidTr="00F758A5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F758A5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9551B" w:rsidRPr="00B60C98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2C6294" w:rsidRDefault="0009551B" w:rsidP="0009551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2C6294" w:rsidRDefault="00D07DDB" w:rsidP="00095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09551B" w:rsidRDefault="0009551B" w:rsidP="00095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9551B" w:rsidRPr="002B6A71" w:rsidRDefault="0009551B" w:rsidP="0009551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551B" w:rsidRPr="00B60C98" w:rsidRDefault="00683B40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9551B" w:rsidRPr="00B60C98" w:rsidRDefault="00D07DDB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09551B" w:rsidRPr="00B60C98" w:rsidRDefault="0009551B" w:rsidP="0009551B">
            <w:pPr>
              <w:jc w:val="center"/>
              <w:rPr>
                <w:sz w:val="20"/>
                <w:szCs w:val="20"/>
              </w:rPr>
            </w:pPr>
          </w:p>
        </w:tc>
      </w:tr>
      <w:tr w:rsidR="0009551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E14260" w:rsidRDefault="0009551B" w:rsidP="0009551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9551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C236C7" w:rsidP="0009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9551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1B" w:rsidRPr="001F656B" w:rsidRDefault="0009551B" w:rsidP="00095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09551B" w:rsidRPr="00B60C98" w:rsidRDefault="0009551B" w:rsidP="0009551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09551B" w:rsidRPr="004C0486" w:rsidRDefault="0009551B" w:rsidP="0009551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9551B" w:rsidRPr="008C01E4" w:rsidRDefault="0009551B" w:rsidP="0009551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9551B" w:rsidRPr="004C0486" w:rsidRDefault="0009551B" w:rsidP="0009551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9551B" w:rsidRDefault="0009551B" w:rsidP="0009551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9551B" w:rsidRPr="004C0486" w:rsidRDefault="0009551B" w:rsidP="0009551B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  <w:tr w:rsidR="0009551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51B" w:rsidRPr="001F656B" w:rsidRDefault="0009551B" w:rsidP="0009551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551B" w:rsidRPr="00521695" w:rsidRDefault="0009551B" w:rsidP="0009551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9551B" w:rsidRPr="00B60C98" w:rsidRDefault="0009551B" w:rsidP="0009551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91" w:rsidRDefault="00166E91" w:rsidP="008518ED">
      <w:pPr>
        <w:spacing w:after="0" w:line="240" w:lineRule="auto"/>
      </w:pPr>
      <w:r>
        <w:separator/>
      </w:r>
    </w:p>
  </w:endnote>
  <w:endnote w:type="continuationSeparator" w:id="0">
    <w:p w:rsidR="00166E91" w:rsidRDefault="00166E9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91" w:rsidRDefault="00166E91" w:rsidP="008518ED">
      <w:pPr>
        <w:spacing w:after="0" w:line="240" w:lineRule="auto"/>
      </w:pPr>
      <w:r>
        <w:separator/>
      </w:r>
    </w:p>
  </w:footnote>
  <w:footnote w:type="continuationSeparator" w:id="0">
    <w:p w:rsidR="00166E91" w:rsidRDefault="00166E9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551B"/>
    <w:rsid w:val="000B6EFB"/>
    <w:rsid w:val="000C4C05"/>
    <w:rsid w:val="000D026C"/>
    <w:rsid w:val="000D3B74"/>
    <w:rsid w:val="000D6D37"/>
    <w:rsid w:val="00121BC3"/>
    <w:rsid w:val="00122166"/>
    <w:rsid w:val="00166E91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1347"/>
    <w:rsid w:val="00652588"/>
    <w:rsid w:val="00663CDA"/>
    <w:rsid w:val="006808E0"/>
    <w:rsid w:val="00683B4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0702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3925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36C7"/>
    <w:rsid w:val="00C268BE"/>
    <w:rsid w:val="00C35E9C"/>
    <w:rsid w:val="00C413B7"/>
    <w:rsid w:val="00C7700A"/>
    <w:rsid w:val="00C879BC"/>
    <w:rsid w:val="00C943D4"/>
    <w:rsid w:val="00CA528E"/>
    <w:rsid w:val="00CC7589"/>
    <w:rsid w:val="00CD0B7C"/>
    <w:rsid w:val="00CF321F"/>
    <w:rsid w:val="00CF66F8"/>
    <w:rsid w:val="00CF6B03"/>
    <w:rsid w:val="00D03E98"/>
    <w:rsid w:val="00D07DD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5E89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6BA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ACD2-46FA-417B-A53E-3B6AB385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2019-06-07T15:50:00Z</cp:lastPrinted>
  <dcterms:created xsi:type="dcterms:W3CDTF">2020-03-25T22:58:00Z</dcterms:created>
  <dcterms:modified xsi:type="dcterms:W3CDTF">2021-06-06T05:51:00Z</dcterms:modified>
</cp:coreProperties>
</file>