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63" w:rsidRPr="00D86D33" w:rsidRDefault="003A4863" w:rsidP="003A4863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A4863" w:rsidRPr="00121BC3" w:rsidRDefault="003A4863" w:rsidP="003A48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3A4863" w:rsidRPr="00D86D33" w:rsidRDefault="003A4863" w:rsidP="003A4863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A4863" w:rsidRPr="00121BC3" w:rsidRDefault="003A4863" w:rsidP="003A486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730258" w:rsidRDefault="0073025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Drama </w:t>
                            </w:r>
                            <w:r w:rsidR="00543261" w:rsidRPr="00730258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730258" w:rsidRDefault="0073025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Drama </w:t>
                      </w:r>
                      <w:r w:rsidR="00543261" w:rsidRPr="00730258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450"/>
        <w:gridCol w:w="540"/>
        <w:gridCol w:w="720"/>
        <w:gridCol w:w="720"/>
        <w:gridCol w:w="3060"/>
        <w:gridCol w:w="1283"/>
      </w:tblGrid>
      <w:tr w:rsidR="009722C9" w:rsidTr="006C61D0">
        <w:tc>
          <w:tcPr>
            <w:tcW w:w="440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6C61D0">
        <w:tc>
          <w:tcPr>
            <w:tcW w:w="440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F1B5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45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6C61D0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6C61D0">
        <w:tc>
          <w:tcPr>
            <w:tcW w:w="440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3A486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61D0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  <w:r w:rsidR="00F45FF2">
              <w:rPr>
                <w:sz w:val="16"/>
                <w:szCs w:val="16"/>
              </w:rPr>
              <w:t xml:space="preserve"> THEA 2251 Fundamentals of Acting</w:t>
            </w:r>
          </w:p>
        </w:tc>
        <w:tc>
          <w:tcPr>
            <w:tcW w:w="45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45FF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F45FF2">
              <w:rPr>
                <w:sz w:val="16"/>
                <w:szCs w:val="16"/>
              </w:rPr>
              <w:t>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842E53" w:rsidRDefault="006C61D0" w:rsidP="006C61D0">
            <w:pPr>
              <w:ind w:left="720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1101: Survey of Theatre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45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rPr>
          <w:trHeight w:val="110"/>
        </w:trPr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D42DE8" w:rsidRDefault="00DF1B5D" w:rsidP="006C61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45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194BA6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C61D0" w:rsidTr="006C61D0">
        <w:tc>
          <w:tcPr>
            <w:tcW w:w="4405" w:type="dxa"/>
          </w:tcPr>
          <w:p w:rsidR="006C61D0" w:rsidRPr="00292C65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45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DF4494" w:rsidRDefault="006C61D0" w:rsidP="006C61D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292C65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6C61D0" w:rsidRPr="00DF4494" w:rsidRDefault="006C61D0" w:rsidP="006C61D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1191 or 3391: Theatre Production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292C65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2205 Argumentation</w:t>
            </w:r>
          </w:p>
        </w:tc>
        <w:tc>
          <w:tcPr>
            <w:tcW w:w="45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8246A8" w:rsidRDefault="006C61D0" w:rsidP="003A583E">
            <w:pPr>
              <w:rPr>
                <w:sz w:val="16"/>
                <w:szCs w:val="16"/>
              </w:rPr>
            </w:pPr>
            <w:r w:rsidRPr="008246A8">
              <w:rPr>
                <w:sz w:val="16"/>
                <w:szCs w:val="16"/>
              </w:rPr>
              <w:t>THEA 2221: Stage Costume C</w:t>
            </w:r>
            <w:r w:rsidR="003A583E" w:rsidRPr="008246A8">
              <w:rPr>
                <w:sz w:val="16"/>
                <w:szCs w:val="16"/>
              </w:rPr>
              <w:t>onstruction</w:t>
            </w:r>
          </w:p>
        </w:tc>
        <w:tc>
          <w:tcPr>
            <w:tcW w:w="45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Default="006C61D0" w:rsidP="00407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 2211: </w:t>
            </w:r>
            <w:r w:rsidRPr="00407169">
              <w:rPr>
                <w:sz w:val="16"/>
                <w:szCs w:val="16"/>
              </w:rPr>
              <w:t>Drafting</w:t>
            </w:r>
            <w:r w:rsidR="003A583E" w:rsidRPr="004071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Pr="00292C65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292C65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D42DE8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292C65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C61D0" w:rsidTr="006C61D0">
        <w:tc>
          <w:tcPr>
            <w:tcW w:w="4405" w:type="dxa"/>
            <w:shd w:val="clear" w:color="auto" w:fill="FFFFFF" w:themeFill="background1"/>
            <w:vAlign w:val="bottom"/>
          </w:tcPr>
          <w:p w:rsidR="006C61D0" w:rsidRPr="002A0596" w:rsidRDefault="006C61D0" w:rsidP="006C61D0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C61D0" w:rsidRPr="002A059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C61D0" w:rsidRPr="002A059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2A059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2A0596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6C61D0" w:rsidRPr="002A059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FFFFF" w:themeFill="background1"/>
            <w:vAlign w:val="bottom"/>
          </w:tcPr>
          <w:p w:rsidR="006C61D0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1111: Stagecraft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  <w:vAlign w:val="bottom"/>
          </w:tcPr>
          <w:p w:rsidR="006C61D0" w:rsidRPr="00BA2629" w:rsidRDefault="006C61D0" w:rsidP="006C61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THEA 2214: Makeup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014671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014671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 w:rsidRPr="00014671">
              <w:rPr>
                <w:sz w:val="16"/>
                <w:szCs w:val="16"/>
              </w:rPr>
              <w:t>F</w:t>
            </w:r>
            <w:r w:rsidR="003A583E" w:rsidRPr="00014671">
              <w:rPr>
                <w:sz w:val="16"/>
                <w:szCs w:val="16"/>
              </w:rPr>
              <w:t>, S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  <w:vAlign w:val="bottom"/>
          </w:tcPr>
          <w:p w:rsidR="006C61D0" w:rsidRPr="00014671" w:rsidRDefault="006C61D0" w:rsidP="003A583E">
            <w:pPr>
              <w:rPr>
                <w:rFonts w:ascii="Calibri" w:hAnsi="Calibri"/>
                <w:sz w:val="16"/>
                <w:szCs w:val="16"/>
              </w:rPr>
            </w:pPr>
            <w:r w:rsidRPr="00014671">
              <w:rPr>
                <w:rFonts w:ascii="Calibri" w:hAnsi="Calibri"/>
                <w:sz w:val="16"/>
                <w:szCs w:val="16"/>
              </w:rPr>
              <w:t xml:space="preserve">THEA 3311: </w:t>
            </w:r>
            <w:r w:rsidR="00014671" w:rsidRPr="00014671">
              <w:rPr>
                <w:rFonts w:ascii="Calibri" w:hAnsi="Calibri"/>
                <w:sz w:val="16"/>
                <w:szCs w:val="16"/>
              </w:rPr>
              <w:t xml:space="preserve">Scene </w:t>
            </w:r>
            <w:r w:rsidRPr="00014671">
              <w:rPr>
                <w:rFonts w:ascii="Calibri" w:hAnsi="Calibri"/>
                <w:sz w:val="16"/>
                <w:szCs w:val="16"/>
              </w:rPr>
              <w:t>Design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014671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6C61D0" w:rsidRPr="00CE5637" w:rsidRDefault="00F45FF2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2211</w:t>
            </w: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vAlign w:val="bottom"/>
          </w:tcPr>
          <w:p w:rsidR="006C61D0" w:rsidRPr="00BA2629" w:rsidRDefault="006C61D0" w:rsidP="006C61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THEA 3331: Materials and Methods for High School Speech Arts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194BA6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1191 or 3391: Theatre Production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6C61D0" w:rsidRPr="00A3220F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Pr="00BA2629" w:rsidRDefault="006C61D0" w:rsidP="006C61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C61D0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C61D0" w:rsidTr="006C61D0">
        <w:tc>
          <w:tcPr>
            <w:tcW w:w="4405" w:type="dxa"/>
          </w:tcPr>
          <w:p w:rsidR="006C61D0" w:rsidRPr="00046BBE" w:rsidRDefault="006C61D0" w:rsidP="006C61D0">
            <w:pPr>
              <w:rPr>
                <w:sz w:val="16"/>
                <w:szCs w:val="16"/>
              </w:rPr>
            </w:pPr>
            <w:r w:rsidRPr="002C44C6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shd w:val="clear" w:color="auto" w:fill="FFFFFF" w:themeFill="background1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6C61D0" w:rsidRPr="00C855AE" w:rsidRDefault="006C61D0" w:rsidP="006C61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C61D0" w:rsidRPr="00473C19" w:rsidRDefault="006C61D0" w:rsidP="006C61D0">
            <w:pPr>
              <w:rPr>
                <w:sz w:val="16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BA2629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2252: Intermediate Acting Scene Study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2251 or permission of instructor</w:t>
            </w: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014671" w:rsidRDefault="006C61D0" w:rsidP="003A583E">
            <w:pPr>
              <w:rPr>
                <w:sz w:val="16"/>
                <w:szCs w:val="16"/>
              </w:rPr>
            </w:pPr>
            <w:r w:rsidRPr="00014671">
              <w:rPr>
                <w:sz w:val="16"/>
                <w:szCs w:val="16"/>
              </w:rPr>
              <w:t xml:space="preserve">THEA 3304: </w:t>
            </w:r>
            <w:r w:rsidR="003A583E" w:rsidRPr="00014671">
              <w:rPr>
                <w:sz w:val="16"/>
                <w:szCs w:val="16"/>
              </w:rPr>
              <w:t>Stage</w:t>
            </w:r>
            <w:r w:rsidRPr="00014671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</w:tcPr>
          <w:p w:rsidR="006C61D0" w:rsidRPr="00BA2629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 3312 or 4403: Stage Lighting or </w:t>
            </w:r>
            <w:r w:rsidR="008246A8">
              <w:rPr>
                <w:sz w:val="16"/>
                <w:szCs w:val="16"/>
              </w:rPr>
              <w:t xml:space="preserve">Stage </w:t>
            </w:r>
            <w:r>
              <w:rPr>
                <w:sz w:val="16"/>
                <w:szCs w:val="16"/>
              </w:rPr>
              <w:t>Costume Design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S/AS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1111</w:t>
            </w:r>
            <w:r w:rsidR="00CC2C80">
              <w:rPr>
                <w:sz w:val="16"/>
                <w:szCs w:val="16"/>
              </w:rPr>
              <w:t xml:space="preserve">, </w:t>
            </w:r>
            <w:r w:rsidR="00CC2C80" w:rsidRPr="00014671">
              <w:rPr>
                <w:sz w:val="16"/>
                <w:szCs w:val="16"/>
              </w:rPr>
              <w:t>2211</w:t>
            </w:r>
            <w:r w:rsidR="00014671">
              <w:rPr>
                <w:sz w:val="16"/>
                <w:szCs w:val="16"/>
              </w:rPr>
              <w:t xml:space="preserve"> (for 3312)</w:t>
            </w: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842246">
        <w:tc>
          <w:tcPr>
            <w:tcW w:w="4405" w:type="dxa"/>
            <w:vAlign w:val="bottom"/>
          </w:tcPr>
          <w:p w:rsidR="006C61D0" w:rsidRPr="00532D22" w:rsidRDefault="006C61D0" w:rsidP="006C61D0">
            <w:pPr>
              <w:rPr>
                <w:sz w:val="16"/>
                <w:szCs w:val="16"/>
              </w:rPr>
            </w:pPr>
            <w:r w:rsidRPr="00532D22">
              <w:rPr>
                <w:sz w:val="16"/>
                <w:szCs w:val="16"/>
              </w:rPr>
              <w:t>Approved THEA Elective</w:t>
            </w:r>
          </w:p>
        </w:tc>
        <w:tc>
          <w:tcPr>
            <w:tcW w:w="45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046BBE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6C61D0" w:rsidRPr="00046BBE" w:rsidRDefault="006C61D0" w:rsidP="006C61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Pr="00BA2629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C61D0" w:rsidTr="006C61D0">
        <w:tc>
          <w:tcPr>
            <w:tcW w:w="4405" w:type="dxa"/>
          </w:tcPr>
          <w:p w:rsidR="006C61D0" w:rsidRPr="00BA2629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6C61D0" w:rsidRPr="00BA2629" w:rsidRDefault="006C61D0" w:rsidP="006C6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C61D0" w:rsidRPr="00BA2629" w:rsidRDefault="006C61D0" w:rsidP="006C6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BA2629" w:rsidRDefault="006C61D0" w:rsidP="006C6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BA2629" w:rsidRDefault="006C61D0" w:rsidP="006C6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6C61D0" w:rsidRPr="00473C19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6C61D0" w:rsidRPr="00DF4494" w:rsidRDefault="006C61D0" w:rsidP="006C61D0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6C61D0" w:rsidTr="006C61D0">
        <w:tc>
          <w:tcPr>
            <w:tcW w:w="4405" w:type="dxa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6C61D0" w:rsidRPr="00DF4494" w:rsidRDefault="006C61D0" w:rsidP="006C61D0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6C61D0" w:rsidTr="006C61D0">
        <w:tc>
          <w:tcPr>
            <w:tcW w:w="4405" w:type="dxa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6C61D0" w:rsidRPr="00E67D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6C61D0" w:rsidRPr="00DF4494" w:rsidRDefault="006C61D0" w:rsidP="006C61D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6C61D0" w:rsidTr="006C61D0">
        <w:tc>
          <w:tcPr>
            <w:tcW w:w="4405" w:type="dxa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6C61D0" w:rsidRPr="00114CA9" w:rsidRDefault="006C61D0" w:rsidP="006C61D0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6C61D0" w:rsidRPr="00DF4494" w:rsidRDefault="006C61D0" w:rsidP="006C61D0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6C61D0" w:rsidTr="006C61D0">
        <w:tc>
          <w:tcPr>
            <w:tcW w:w="4405" w:type="dxa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4455: Beginning Stage Direction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6C61D0" w:rsidRPr="00CE5637" w:rsidRDefault="006C61D0" w:rsidP="006C61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1111, 2251, 2252</w:t>
            </w: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6C61D0" w:rsidRPr="00C04A5A" w:rsidRDefault="006C61D0" w:rsidP="006C61D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C61D0" w:rsidTr="006C61D0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6C61D0" w:rsidRDefault="006C61D0" w:rsidP="006C6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:rsidR="006C61D0" w:rsidRDefault="006C61D0" w:rsidP="006C6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6C61D0">
        <w:tc>
          <w:tcPr>
            <w:tcW w:w="4405" w:type="dxa"/>
            <w:shd w:val="clear" w:color="auto" w:fill="F2F2F2" w:themeFill="background1" w:themeFillShade="F2"/>
          </w:tcPr>
          <w:p w:rsidR="006C61D0" w:rsidRPr="00B67A57" w:rsidRDefault="006C61D0" w:rsidP="006C61D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C61D0" w:rsidRPr="00E67D37" w:rsidRDefault="006C61D0" w:rsidP="006C61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</w:p>
        </w:tc>
      </w:tr>
      <w:tr w:rsidR="006C61D0" w:rsidTr="00CF321F">
        <w:tc>
          <w:tcPr>
            <w:tcW w:w="11178" w:type="dxa"/>
            <w:gridSpan w:val="7"/>
          </w:tcPr>
          <w:p w:rsidR="006C61D0" w:rsidRPr="00943870" w:rsidRDefault="006C61D0" w:rsidP="006C61D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C61D0" w:rsidRPr="00C04A5A" w:rsidRDefault="006C61D0" w:rsidP="006C61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8D6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8D6FE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8D6FED">
              <w:rPr>
                <w:b/>
                <w:sz w:val="24"/>
                <w:szCs w:val="24"/>
              </w:rPr>
              <w:t>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DA364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C2303E" w:rsidP="00C2303E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136576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Drama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DA364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A4368" w:rsidRPr="00B60C98" w:rsidTr="005A4368">
        <w:tc>
          <w:tcPr>
            <w:tcW w:w="4885" w:type="dxa"/>
            <w:shd w:val="clear" w:color="auto" w:fill="auto"/>
          </w:tcPr>
          <w:p w:rsidR="005A4368" w:rsidRPr="001F656B" w:rsidRDefault="005A43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1101 Survey of Theatre</w:t>
            </w:r>
          </w:p>
        </w:tc>
        <w:tc>
          <w:tcPr>
            <w:tcW w:w="614" w:type="dxa"/>
            <w:shd w:val="clear" w:color="auto" w:fill="auto"/>
          </w:tcPr>
          <w:p w:rsidR="005A4368" w:rsidRPr="001F656B" w:rsidRDefault="005A4368" w:rsidP="00975A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5A4368" w:rsidRPr="00B60C98" w:rsidRDefault="005A436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5A4368" w:rsidRPr="00B60C98" w:rsidRDefault="005A4368" w:rsidP="005A4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2251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5A4368" w:rsidRPr="00B60C98" w:rsidRDefault="005A4368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586FDA" w:rsidRDefault="00136576" w:rsidP="00D451FC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1111 Stagecraft</w:t>
            </w:r>
          </w:p>
        </w:tc>
        <w:tc>
          <w:tcPr>
            <w:tcW w:w="614" w:type="dxa"/>
          </w:tcPr>
          <w:p w:rsidR="00B60C98" w:rsidRPr="00586FDA" w:rsidRDefault="00975AD3" w:rsidP="00975AD3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586FDA" w:rsidRDefault="00136576" w:rsidP="00D451FC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1191 Theatre Production</w:t>
            </w:r>
          </w:p>
        </w:tc>
        <w:tc>
          <w:tcPr>
            <w:tcW w:w="614" w:type="dxa"/>
          </w:tcPr>
          <w:p w:rsidR="00B60C98" w:rsidRPr="00586FDA" w:rsidRDefault="00975AD3" w:rsidP="00975AD3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586FDA" w:rsidRDefault="00136576" w:rsidP="00C817BE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2211 Drafting</w:t>
            </w:r>
            <w:r w:rsidR="003A583E" w:rsidRPr="00586F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B22F4F" w:rsidRPr="00586FDA" w:rsidRDefault="00975AD3" w:rsidP="00975AD3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586FDA" w:rsidRDefault="00136576" w:rsidP="00D451FC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2214 Makeup</w:t>
            </w:r>
          </w:p>
        </w:tc>
        <w:tc>
          <w:tcPr>
            <w:tcW w:w="614" w:type="dxa"/>
          </w:tcPr>
          <w:p w:rsidR="00B60C98" w:rsidRPr="00586FDA" w:rsidRDefault="00975AD3" w:rsidP="00975AD3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586FDA" w:rsidRDefault="00136576" w:rsidP="003A583E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 xml:space="preserve">THEA 2221 Stage Costume </w:t>
            </w:r>
            <w:r w:rsidR="003A583E" w:rsidRPr="00586FDA">
              <w:rPr>
                <w:sz w:val="18"/>
                <w:szCs w:val="18"/>
              </w:rPr>
              <w:t>Construction</w:t>
            </w:r>
          </w:p>
        </w:tc>
        <w:tc>
          <w:tcPr>
            <w:tcW w:w="614" w:type="dxa"/>
          </w:tcPr>
          <w:p w:rsidR="00B60C98" w:rsidRPr="00586FDA" w:rsidRDefault="00975AD3" w:rsidP="00975AD3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136576" w:rsidRPr="00B60C98" w:rsidTr="002A2D2E">
        <w:tc>
          <w:tcPr>
            <w:tcW w:w="5499" w:type="dxa"/>
            <w:gridSpan w:val="2"/>
            <w:shd w:val="clear" w:color="auto" w:fill="auto"/>
          </w:tcPr>
          <w:p w:rsidR="00136576" w:rsidRPr="00586FDA" w:rsidRDefault="00136576" w:rsidP="00136576">
            <w:pPr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2251 Fundamentals of Acting</w:t>
            </w:r>
            <w:r w:rsidR="00975AD3" w:rsidRPr="00586FDA">
              <w:rPr>
                <w:sz w:val="18"/>
                <w:szCs w:val="18"/>
              </w:rPr>
              <w:t xml:space="preserve">                                   (3 counted in GE)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136576" w:rsidRPr="002C6294" w:rsidRDefault="00136576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36576" w:rsidRPr="002C6294" w:rsidRDefault="00DA364B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86FDA" w:rsidRPr="00B60C98" w:rsidTr="00D30A41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2252 Intermediate Acting Scene Study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86FDA" w:rsidRPr="00B60C98" w:rsidTr="00D30A41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3304 Stage Management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44331A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3311 Scenic Design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44331A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3312 or 4403 Stage Lighting or Stage Costume Design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84475E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3331 Materials and Methods for High School Speech Arts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nil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84475E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3391 Theatre Production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D30A41">
        <w:tc>
          <w:tcPr>
            <w:tcW w:w="4885" w:type="dxa"/>
            <w:shd w:val="clear" w:color="auto" w:fill="auto"/>
          </w:tcPr>
          <w:p w:rsidR="00586FDA" w:rsidRPr="00586FDA" w:rsidRDefault="00586FDA" w:rsidP="00586FDA">
            <w:pPr>
              <w:jc w:val="both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THEA 4455 Beginning Stage Direction</w:t>
            </w:r>
          </w:p>
        </w:tc>
        <w:tc>
          <w:tcPr>
            <w:tcW w:w="614" w:type="dxa"/>
          </w:tcPr>
          <w:p w:rsidR="00586FDA" w:rsidRPr="00586FDA" w:rsidRDefault="00586FDA" w:rsidP="00586FDA">
            <w:pPr>
              <w:jc w:val="right"/>
              <w:rPr>
                <w:sz w:val="18"/>
                <w:szCs w:val="18"/>
              </w:rPr>
            </w:pPr>
            <w:r w:rsidRPr="00586FDA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86FDA" w:rsidRPr="00B60C98" w:rsidTr="00975AD3">
        <w:tc>
          <w:tcPr>
            <w:tcW w:w="4885" w:type="dxa"/>
            <w:vMerge w:val="restart"/>
            <w:shd w:val="clear" w:color="auto" w:fill="auto"/>
          </w:tcPr>
          <w:p w:rsidR="00586FDA" w:rsidRPr="00DA364B" w:rsidRDefault="00586FDA" w:rsidP="00586FDA">
            <w:pPr>
              <w:rPr>
                <w:sz w:val="18"/>
                <w:szCs w:val="18"/>
              </w:rPr>
            </w:pPr>
            <w:r w:rsidRPr="00DA364B">
              <w:rPr>
                <w:sz w:val="18"/>
                <w:szCs w:val="18"/>
              </w:rPr>
              <w:t>Approved THEA Electives:  Choose from the following only:  THEA 4400: Theatre Background I; THEA 4401: Theatre Background II; THEA 4419: 20</w:t>
            </w:r>
            <w:r w:rsidRPr="00DA364B">
              <w:rPr>
                <w:sz w:val="18"/>
                <w:szCs w:val="18"/>
                <w:vertAlign w:val="superscript"/>
              </w:rPr>
              <w:t>th</w:t>
            </w:r>
            <w:r w:rsidRPr="00DA364B">
              <w:rPr>
                <w:sz w:val="18"/>
                <w:szCs w:val="18"/>
              </w:rPr>
              <w:t xml:space="preserve"> Century Theatre; THEA 4420: American Theatre History; THEA 4465: Musical Theatre History; THEA 4470: Contemporary Theatre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86FDA" w:rsidRPr="001F656B" w:rsidRDefault="00586FDA" w:rsidP="00586F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586FDA" w:rsidRPr="00B60C98" w:rsidTr="00975AD3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86FDA" w:rsidRPr="00B60C98" w:rsidTr="00975AD3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6FDA" w:rsidRPr="00B60C98" w:rsidTr="00975AD3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86FDA" w:rsidRPr="00B60C98" w:rsidTr="00975AD3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</w:p>
        </w:tc>
      </w:tr>
      <w:tr w:rsidR="00586FDA" w:rsidRPr="00B60C98" w:rsidTr="00D30A41">
        <w:tc>
          <w:tcPr>
            <w:tcW w:w="4885" w:type="dxa"/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2205 Argumentation</w:t>
            </w:r>
          </w:p>
        </w:tc>
        <w:tc>
          <w:tcPr>
            <w:tcW w:w="614" w:type="dxa"/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</w:p>
        </w:tc>
      </w:tr>
      <w:tr w:rsidR="00586FDA" w:rsidRPr="00B60C98" w:rsidTr="00D30A41">
        <w:tc>
          <w:tcPr>
            <w:tcW w:w="4885" w:type="dxa"/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614" w:type="dxa"/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</w:p>
        </w:tc>
      </w:tr>
      <w:tr w:rsidR="00586FDA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586FDA" w:rsidRPr="00B60C98" w:rsidRDefault="00586FDA" w:rsidP="00586FDA">
            <w:pPr>
              <w:jc w:val="center"/>
              <w:rPr>
                <w:sz w:val="20"/>
                <w:szCs w:val="20"/>
              </w:rPr>
            </w:pPr>
          </w:p>
        </w:tc>
      </w:tr>
      <w:tr w:rsidR="00586FDA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86FDA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86FDA" w:rsidRPr="00B60C98" w:rsidRDefault="00F32139" w:rsidP="00F3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86FDA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F3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86FDA" w:rsidRPr="00B60C98" w:rsidRDefault="00F32139" w:rsidP="00F3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86FDA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F3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86FDA" w:rsidRPr="00B60C98" w:rsidRDefault="00F32139" w:rsidP="00F3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86FDA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F3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86FDA" w:rsidRPr="00B60C98" w:rsidRDefault="00F32139" w:rsidP="00F3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86FDA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DA" w:rsidRPr="001F656B" w:rsidRDefault="00586FDA" w:rsidP="0058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6FDA" w:rsidRPr="00B60C98" w:rsidRDefault="00586FDA" w:rsidP="00586F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6FDA" w:rsidRPr="00B60C98" w:rsidRDefault="00586FDA" w:rsidP="00586F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586FDA" w:rsidRPr="00B60C98" w:rsidRDefault="00F32139" w:rsidP="0058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586FDA" w:rsidRPr="00B60C98" w:rsidRDefault="00586FDA" w:rsidP="00586F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  <w:tr w:rsidR="00586FDA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FDA" w:rsidRPr="001F656B" w:rsidRDefault="00586FDA" w:rsidP="00586FD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586FDA" w:rsidRPr="00B60C98" w:rsidRDefault="00586FDA" w:rsidP="00586FD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586FDA">
        <w:rPr>
          <w:rFonts w:ascii="Calibri" w:eastAsia="Times New Roman" w:hAnsi="Calibri" w:cs="Times New Roman"/>
          <w:sz w:val="20"/>
          <w:szCs w:val="20"/>
        </w:rPr>
        <w:t>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4671"/>
    <w:rsid w:val="0001550E"/>
    <w:rsid w:val="0004615F"/>
    <w:rsid w:val="00046295"/>
    <w:rsid w:val="000518D2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36576"/>
    <w:rsid w:val="00170351"/>
    <w:rsid w:val="00194BA6"/>
    <w:rsid w:val="001A7C24"/>
    <w:rsid w:val="001B04E4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A4863"/>
    <w:rsid w:val="003A583E"/>
    <w:rsid w:val="003E1CBA"/>
    <w:rsid w:val="003F2805"/>
    <w:rsid w:val="003F7D9B"/>
    <w:rsid w:val="00407169"/>
    <w:rsid w:val="00434098"/>
    <w:rsid w:val="00443C4E"/>
    <w:rsid w:val="00466AA7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86FDA"/>
    <w:rsid w:val="005A240C"/>
    <w:rsid w:val="005A4368"/>
    <w:rsid w:val="005E4D62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C61D0"/>
    <w:rsid w:val="006D5CCA"/>
    <w:rsid w:val="00700B07"/>
    <w:rsid w:val="00714833"/>
    <w:rsid w:val="00714F1E"/>
    <w:rsid w:val="00721908"/>
    <w:rsid w:val="00721FDC"/>
    <w:rsid w:val="00724B1D"/>
    <w:rsid w:val="00730258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E5809"/>
    <w:rsid w:val="007F10D7"/>
    <w:rsid w:val="008246A8"/>
    <w:rsid w:val="00826C6E"/>
    <w:rsid w:val="00831441"/>
    <w:rsid w:val="0084475E"/>
    <w:rsid w:val="008560B4"/>
    <w:rsid w:val="008621B9"/>
    <w:rsid w:val="00864D96"/>
    <w:rsid w:val="008B1851"/>
    <w:rsid w:val="008D6FED"/>
    <w:rsid w:val="008F1E98"/>
    <w:rsid w:val="008F6048"/>
    <w:rsid w:val="00936658"/>
    <w:rsid w:val="00943870"/>
    <w:rsid w:val="00944648"/>
    <w:rsid w:val="009722C9"/>
    <w:rsid w:val="00975015"/>
    <w:rsid w:val="00975AD3"/>
    <w:rsid w:val="0098617C"/>
    <w:rsid w:val="009B42A4"/>
    <w:rsid w:val="00A04E02"/>
    <w:rsid w:val="00A3318E"/>
    <w:rsid w:val="00A513C9"/>
    <w:rsid w:val="00A94A30"/>
    <w:rsid w:val="00AA1DB7"/>
    <w:rsid w:val="00AA4B37"/>
    <w:rsid w:val="00AB7151"/>
    <w:rsid w:val="00AC5A04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303E"/>
    <w:rsid w:val="00C268BE"/>
    <w:rsid w:val="00C35E9C"/>
    <w:rsid w:val="00C66483"/>
    <w:rsid w:val="00C7700A"/>
    <w:rsid w:val="00C817BE"/>
    <w:rsid w:val="00C879BC"/>
    <w:rsid w:val="00C96D26"/>
    <w:rsid w:val="00CA1831"/>
    <w:rsid w:val="00CA528E"/>
    <w:rsid w:val="00CC2C80"/>
    <w:rsid w:val="00CC7589"/>
    <w:rsid w:val="00CD0B7C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364B"/>
    <w:rsid w:val="00DB202D"/>
    <w:rsid w:val="00DC4E37"/>
    <w:rsid w:val="00DD67D4"/>
    <w:rsid w:val="00DF097F"/>
    <w:rsid w:val="00DF1B5D"/>
    <w:rsid w:val="00DF4494"/>
    <w:rsid w:val="00DF6243"/>
    <w:rsid w:val="00E67D37"/>
    <w:rsid w:val="00E71323"/>
    <w:rsid w:val="00E71BB2"/>
    <w:rsid w:val="00E725D8"/>
    <w:rsid w:val="00E80337"/>
    <w:rsid w:val="00EF141B"/>
    <w:rsid w:val="00F02567"/>
    <w:rsid w:val="00F32139"/>
    <w:rsid w:val="00F45FF2"/>
    <w:rsid w:val="00F5131F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A60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68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27</cp:revision>
  <cp:lastPrinted>2016-09-01T20:48:00Z</cp:lastPrinted>
  <dcterms:created xsi:type="dcterms:W3CDTF">2018-02-16T18:09:00Z</dcterms:created>
  <dcterms:modified xsi:type="dcterms:W3CDTF">2018-06-14T18:32:00Z</dcterms:modified>
</cp:coreProperties>
</file>