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163DC" w:rsidRPr="00A0716F" w:rsidRDefault="00BD6CD8" w:rsidP="00B163D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E10D8B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B163DC"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B163DC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E10D8B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B163DC" w:rsidRPr="00A0716F" w:rsidRDefault="00B163DC" w:rsidP="00B163D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:rsidR="00B163DC" w:rsidRDefault="00B163DC" w:rsidP="00B163D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Multiplatform Journalism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40A2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CD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40A2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CD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B163DC" w:rsidRPr="00A0716F" w:rsidRDefault="00BD6CD8" w:rsidP="00B163DC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E10D8B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B163DC"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B163DC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E10D8B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B163DC" w:rsidRPr="00A0716F" w:rsidRDefault="00B163DC" w:rsidP="00B163D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:rsidR="00B163DC" w:rsidRDefault="00B163DC" w:rsidP="00B163D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Multiplatform Journalism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40A2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CD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40A2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CD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DC2769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7/8: CMP 2203 is recommended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pStyle w:val="NoSpacing"/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</w:t>
            </w:r>
            <w:r w:rsidR="00DC2769" w:rsidRPr="00C918BC">
              <w:rPr>
                <w:sz w:val="16"/>
                <w:szCs w:val="16"/>
              </w:rPr>
              <w:t>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Two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GE Objective </w:t>
            </w:r>
            <w:r w:rsidR="00E10D8B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GE Objective </w:t>
            </w:r>
            <w:r w:rsidR="00E10D8B">
              <w:rPr>
                <w:sz w:val="16"/>
                <w:szCs w:val="16"/>
              </w:rPr>
              <w:t>5 with Lab</w:t>
            </w:r>
          </w:p>
        </w:tc>
        <w:tc>
          <w:tcPr>
            <w:tcW w:w="450" w:type="dxa"/>
            <w:vAlign w:val="center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Three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GE Objective </w:t>
            </w:r>
            <w:r w:rsidR="00E10D8B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E10D8B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rPr>
          <w:trHeight w:val="110"/>
        </w:trPr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3311 Business &amp; Political Reporting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1110</w:t>
            </w: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Four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2271 Television &amp; Video Production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E10D8B" w:rsidP="00DC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DC2769" w:rsidRPr="00C918BC">
              <w:rPr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Five</w:t>
            </w:r>
          </w:p>
        </w:tc>
      </w:tr>
      <w:tr w:rsidR="00DC2769" w:rsidTr="00DC2769">
        <w:tc>
          <w:tcPr>
            <w:tcW w:w="4050" w:type="dxa"/>
            <w:shd w:val="clear" w:color="auto" w:fill="FFFFFF" w:themeFill="background1"/>
            <w:vAlign w:val="bottom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FFFFF" w:themeFill="background1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 xml:space="preserve">CMP 4410 Mass Media History, Law &amp; Ethics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vAlign w:val="bottom"/>
          </w:tcPr>
          <w:p w:rsidR="00DC2769" w:rsidRPr="00C918BC" w:rsidRDefault="00E10D8B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</w:t>
            </w:r>
            <w:r w:rsidR="00DC2769" w:rsidRPr="00C918BC">
              <w:rPr>
                <w:rFonts w:ascii="Calibri" w:hAnsi="Calibri"/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CMP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vAlign w:val="bottom"/>
          </w:tcPr>
          <w:p w:rsidR="00DC2769" w:rsidRPr="00C918BC" w:rsidRDefault="00C918BC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Six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4403 Mass Communication &amp; Society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E10D8B" w:rsidP="00DC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DC2769" w:rsidRPr="00C918BC">
              <w:rPr>
                <w:sz w:val="16"/>
                <w:szCs w:val="16"/>
              </w:rPr>
              <w:t>Journalism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Semester Seven</w:t>
            </w: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CMP </w:t>
            </w:r>
            <w:r w:rsidR="00E10D8B">
              <w:rPr>
                <w:sz w:val="16"/>
                <w:szCs w:val="16"/>
              </w:rPr>
              <w:t>U</w:t>
            </w:r>
            <w:r w:rsidRPr="00C918BC">
              <w:rPr>
                <w:sz w:val="16"/>
                <w:szCs w:val="16"/>
              </w:rPr>
              <w:t xml:space="preserve">pper </w:t>
            </w:r>
            <w:r w:rsidR="00E10D8B">
              <w:rPr>
                <w:sz w:val="16"/>
                <w:szCs w:val="16"/>
              </w:rPr>
              <w:t>D</w:t>
            </w:r>
            <w:r w:rsidRPr="00C918BC">
              <w:rPr>
                <w:sz w:val="16"/>
                <w:szCs w:val="16"/>
              </w:rPr>
              <w:t>ivision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Upper </w:t>
            </w:r>
            <w:r w:rsidR="00E10D8B">
              <w:rPr>
                <w:sz w:val="16"/>
                <w:szCs w:val="16"/>
              </w:rPr>
              <w:t>D</w:t>
            </w:r>
            <w:r w:rsidRPr="00C918BC">
              <w:rPr>
                <w:sz w:val="16"/>
                <w:szCs w:val="16"/>
              </w:rPr>
              <w:t>ivision free electives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Semester Eight   </w:t>
            </w:r>
          </w:p>
        </w:tc>
      </w:tr>
      <w:tr w:rsidR="00DC2769" w:rsidTr="00DC2769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886BB9">
        <w:tc>
          <w:tcPr>
            <w:tcW w:w="4050" w:type="dxa"/>
            <w:shd w:val="clear" w:color="auto" w:fill="FFFFFF" w:themeFill="background1"/>
            <w:vAlign w:val="bottom"/>
          </w:tcPr>
          <w:p w:rsidR="00DC2769" w:rsidRPr="00C918BC" w:rsidRDefault="00DC2769" w:rsidP="00DC2769">
            <w:pPr>
              <w:rPr>
                <w:rFonts w:ascii="Calibri" w:hAnsi="Calibri"/>
                <w:sz w:val="16"/>
                <w:szCs w:val="16"/>
              </w:rPr>
            </w:pPr>
            <w:r w:rsidRPr="00C918BC">
              <w:rPr>
                <w:rFonts w:ascii="Calibri" w:hAnsi="Calibri"/>
                <w:color w:val="000000"/>
                <w:sz w:val="16"/>
                <w:szCs w:val="16"/>
              </w:rPr>
              <w:t>CMP elective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Upper </w:t>
            </w:r>
            <w:r w:rsidR="00E10D8B">
              <w:rPr>
                <w:sz w:val="16"/>
                <w:szCs w:val="16"/>
              </w:rPr>
              <w:t>D</w:t>
            </w:r>
            <w:r w:rsidRPr="00C918BC">
              <w:rPr>
                <w:sz w:val="16"/>
                <w:szCs w:val="16"/>
              </w:rPr>
              <w:t>ivision 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</w:tcPr>
          <w:p w:rsidR="00DC2769" w:rsidRPr="00C918BC" w:rsidRDefault="00C918BC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DC2769">
        <w:tc>
          <w:tcPr>
            <w:tcW w:w="405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rPr>
                <w:sz w:val="16"/>
                <w:szCs w:val="16"/>
              </w:rPr>
            </w:pPr>
            <w:r w:rsidRPr="00C918BC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C2769" w:rsidRPr="00C918BC" w:rsidRDefault="00E10D8B" w:rsidP="00DC27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769" w:rsidRPr="00C918BC" w:rsidRDefault="00DC2769" w:rsidP="00DC2769">
            <w:pPr>
              <w:pStyle w:val="NoSpacing"/>
              <w:rPr>
                <w:sz w:val="16"/>
                <w:szCs w:val="16"/>
              </w:rPr>
            </w:pPr>
          </w:p>
        </w:tc>
      </w:tr>
      <w:tr w:rsidR="00DC2769" w:rsidTr="00B00D09">
        <w:trPr>
          <w:trHeight w:val="275"/>
        </w:trPr>
        <w:tc>
          <w:tcPr>
            <w:tcW w:w="11070" w:type="dxa"/>
            <w:gridSpan w:val="8"/>
          </w:tcPr>
          <w:p w:rsidR="00DC2769" w:rsidRPr="00943870" w:rsidRDefault="00DC2769" w:rsidP="00DC276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C2769" w:rsidRDefault="00DC2769" w:rsidP="00DC276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C2769" w:rsidRPr="00C04A5A" w:rsidRDefault="00DC2769" w:rsidP="00DC276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594EB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Communication, Multiplatform Journalism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594EB6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EB6" w:rsidRPr="00B60C98" w:rsidRDefault="00594EB6" w:rsidP="00BD6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10D8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E10D8B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94EB6" w:rsidRPr="00B60C98" w:rsidRDefault="00594EB6" w:rsidP="0059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94EB6" w:rsidRPr="00B60C98" w:rsidRDefault="00594EB6" w:rsidP="00594EB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94EB6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594EB6" w:rsidRPr="00D451FC" w:rsidRDefault="00594EB6" w:rsidP="00594EB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94EB6" w:rsidRPr="00D451FC" w:rsidRDefault="00594EB6" w:rsidP="00594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86C43" w:rsidRDefault="00594EB6" w:rsidP="00594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Multi-Platform Journalism Emphasis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1110 </w:t>
            </w:r>
            <w:r>
              <w:rPr>
                <w:sz w:val="16"/>
                <w:szCs w:val="16"/>
              </w:rPr>
              <w:t>Media Writing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594EB6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2271 Television and Video Production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63B81" w:rsidRDefault="00594EB6" w:rsidP="00594EB6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3311 Business and Political Reporting</w:t>
            </w:r>
          </w:p>
        </w:tc>
        <w:tc>
          <w:tcPr>
            <w:tcW w:w="540" w:type="dxa"/>
          </w:tcPr>
          <w:p w:rsidR="00594EB6" w:rsidRPr="004252A8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63B81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3339 Web Design                                                                                                       </w:t>
            </w:r>
          </w:p>
        </w:tc>
        <w:tc>
          <w:tcPr>
            <w:tcW w:w="540" w:type="dxa"/>
          </w:tcPr>
          <w:p w:rsidR="00594EB6" w:rsidRPr="00B60C98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 History, Law &amp; Ethics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Journalism electives (choose three)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94EB6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3310 Multiplatform Storytelling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3312 Screenwriting</w:t>
            </w:r>
          </w:p>
        </w:tc>
        <w:tc>
          <w:tcPr>
            <w:tcW w:w="540" w:type="dxa"/>
          </w:tcPr>
          <w:p w:rsidR="00594EB6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3373 Documentary Cinema</w:t>
            </w:r>
          </w:p>
        </w:tc>
        <w:tc>
          <w:tcPr>
            <w:tcW w:w="540" w:type="dxa"/>
          </w:tcPr>
          <w:p w:rsidR="00594EB6" w:rsidRPr="00B60C98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94EB6" w:rsidRPr="00B60C98" w:rsidTr="00F926A8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3375 Television Programming</w:t>
            </w:r>
          </w:p>
        </w:tc>
        <w:tc>
          <w:tcPr>
            <w:tcW w:w="540" w:type="dxa"/>
            <w:shd w:val="clear" w:color="auto" w:fill="auto"/>
          </w:tcPr>
          <w:p w:rsidR="00594EB6" w:rsidRPr="00F926EE" w:rsidRDefault="00594EB6" w:rsidP="00594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4418 Feature Writing</w:t>
            </w:r>
          </w:p>
        </w:tc>
        <w:tc>
          <w:tcPr>
            <w:tcW w:w="540" w:type="dxa"/>
          </w:tcPr>
          <w:p w:rsidR="00594EB6" w:rsidRPr="00A002C9" w:rsidRDefault="00594EB6" w:rsidP="00594EB6">
            <w:pPr>
              <w:jc w:val="center"/>
              <w:rPr>
                <w:sz w:val="16"/>
                <w:szCs w:val="16"/>
              </w:rPr>
            </w:pPr>
            <w:r w:rsidRPr="00A002C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3356C4" w:rsidRDefault="00594EB6" w:rsidP="00594EB6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CMP Electives (3 credits must be upper division)</w:t>
            </w:r>
          </w:p>
        </w:tc>
        <w:tc>
          <w:tcPr>
            <w:tcW w:w="540" w:type="dxa"/>
          </w:tcPr>
          <w:p w:rsidR="00594EB6" w:rsidRPr="008560B4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94EB6" w:rsidRPr="00B60C98" w:rsidTr="00F758A5">
        <w:tc>
          <w:tcPr>
            <w:tcW w:w="4860" w:type="dxa"/>
            <w:shd w:val="clear" w:color="auto" w:fill="auto"/>
          </w:tcPr>
          <w:p w:rsidR="00594EB6" w:rsidRPr="00F926EE" w:rsidRDefault="00594EB6" w:rsidP="00594E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EB6" w:rsidRPr="00A002C9" w:rsidRDefault="00594EB6" w:rsidP="00594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F758A5">
        <w:tc>
          <w:tcPr>
            <w:tcW w:w="4860" w:type="dxa"/>
            <w:shd w:val="clear" w:color="auto" w:fill="auto"/>
          </w:tcPr>
          <w:p w:rsidR="00594EB6" w:rsidRPr="003356C4" w:rsidRDefault="00594EB6" w:rsidP="00594E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EB6" w:rsidRPr="008560B4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3356C4" w:rsidRDefault="00594EB6" w:rsidP="00594E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94EB6" w:rsidRPr="008560B4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94EB6" w:rsidRPr="00B60C98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2C6294" w:rsidRDefault="00594EB6" w:rsidP="00594EB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2C6294" w:rsidRDefault="0073622D" w:rsidP="00594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594EB6" w:rsidRDefault="00594EB6" w:rsidP="00594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594EB6" w:rsidRPr="002B6A71" w:rsidRDefault="00594EB6" w:rsidP="00594EB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DC2769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4EB6" w:rsidRPr="00B60C98" w:rsidRDefault="00DC2769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594EB6" w:rsidRPr="00B60C98" w:rsidRDefault="00594EB6" w:rsidP="00594EB6">
            <w:pPr>
              <w:jc w:val="center"/>
              <w:rPr>
                <w:sz w:val="20"/>
                <w:szCs w:val="20"/>
              </w:rPr>
            </w:pPr>
          </w:p>
        </w:tc>
      </w:tr>
      <w:tr w:rsidR="00594EB6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E14260" w:rsidRDefault="00594EB6" w:rsidP="00594EB6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94EB6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73622D" w:rsidP="0059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94EB6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EB6" w:rsidRPr="001F656B" w:rsidRDefault="00594EB6" w:rsidP="00594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EB6" w:rsidRPr="00DC10AA" w:rsidRDefault="00594EB6" w:rsidP="00594EB6">
            <w:pPr>
              <w:rPr>
                <w:sz w:val="16"/>
                <w:szCs w:val="16"/>
              </w:rPr>
            </w:pPr>
            <w:r w:rsidRPr="00DC10AA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2203 Media Literacy is recommended</w:t>
            </w:r>
            <w:r w:rsidRPr="00DC10AA">
              <w:rPr>
                <w:sz w:val="16"/>
                <w:szCs w:val="16"/>
              </w:rPr>
              <w:t xml:space="preserve"> for GE Objective 8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4EB6" w:rsidRPr="00B60C98" w:rsidRDefault="00594EB6" w:rsidP="00594EB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94EB6" w:rsidRPr="00B60C98" w:rsidRDefault="0073622D" w:rsidP="0059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3/27/2020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94EB6" w:rsidRPr="00B60C98" w:rsidRDefault="00E10D8B" w:rsidP="00594E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594EB6" w:rsidRPr="00B60C98" w:rsidRDefault="00E10D8B" w:rsidP="0059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5/15/22</w:t>
            </w:r>
            <w:r w:rsidR="00A16195">
              <w:rPr>
                <w:sz w:val="20"/>
                <w:szCs w:val="20"/>
              </w:rPr>
              <w:t xml:space="preserve"> vlb</w:t>
            </w: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594EB6" w:rsidRPr="004C0486" w:rsidRDefault="00594EB6" w:rsidP="00594EB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94EB6" w:rsidRPr="008C01E4" w:rsidRDefault="00594EB6" w:rsidP="00594EB6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94EB6" w:rsidRPr="004C0486" w:rsidRDefault="00594EB6" w:rsidP="00594EB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94EB6" w:rsidRDefault="00594EB6" w:rsidP="00594EB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94EB6" w:rsidRPr="004C0486" w:rsidRDefault="00594EB6" w:rsidP="00594EB6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  <w:tr w:rsidR="00594EB6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EB6" w:rsidRPr="001F656B" w:rsidRDefault="00594EB6" w:rsidP="00594EB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EB6" w:rsidRPr="00521695" w:rsidRDefault="00594EB6" w:rsidP="00594E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94EB6" w:rsidRPr="00B60C98" w:rsidRDefault="00594EB6" w:rsidP="00594EB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2D" w:rsidRDefault="00140A2D" w:rsidP="008518ED">
      <w:pPr>
        <w:spacing w:after="0" w:line="240" w:lineRule="auto"/>
      </w:pPr>
      <w:r>
        <w:separator/>
      </w:r>
    </w:p>
  </w:endnote>
  <w:endnote w:type="continuationSeparator" w:id="0">
    <w:p w:rsidR="00140A2D" w:rsidRDefault="00140A2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2D" w:rsidRDefault="00140A2D" w:rsidP="008518ED">
      <w:pPr>
        <w:spacing w:after="0" w:line="240" w:lineRule="auto"/>
      </w:pPr>
      <w:r>
        <w:separator/>
      </w:r>
    </w:p>
  </w:footnote>
  <w:footnote w:type="continuationSeparator" w:id="0">
    <w:p w:rsidR="00140A2D" w:rsidRDefault="00140A2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bWwMLA0srQwtbRU0lEKTi0uzszPAykwrAUAF0u5FSwAAAA="/>
  </w:docVars>
  <w:rsids>
    <w:rsidRoot w:val="00BA7BDE"/>
    <w:rsid w:val="000059E7"/>
    <w:rsid w:val="00013EC0"/>
    <w:rsid w:val="0001550E"/>
    <w:rsid w:val="00040EB1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40A2D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EB6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3622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4085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9627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E6766"/>
    <w:rsid w:val="009F4F49"/>
    <w:rsid w:val="00A16195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163D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6CD8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918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2769"/>
    <w:rsid w:val="00DC4E37"/>
    <w:rsid w:val="00DC6C24"/>
    <w:rsid w:val="00DD67D4"/>
    <w:rsid w:val="00DF097F"/>
    <w:rsid w:val="00E10D8B"/>
    <w:rsid w:val="00E14260"/>
    <w:rsid w:val="00E427A5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00F0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1AF3-292A-4B69-98AE-9EDA612F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James Disanza</cp:lastModifiedBy>
  <cp:revision>2</cp:revision>
  <cp:lastPrinted>2020-03-27T19:37:00Z</cp:lastPrinted>
  <dcterms:created xsi:type="dcterms:W3CDTF">2022-05-19T19:26:00Z</dcterms:created>
  <dcterms:modified xsi:type="dcterms:W3CDTF">2022-05-19T19:26:00Z</dcterms:modified>
</cp:coreProperties>
</file>