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7715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045124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D86D33" w:rsidRPr="00DD67D4" w:rsidRDefault="0011136B" w:rsidP="00EC5F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C5F3C">
                              <w:rPr>
                                <w:sz w:val="28"/>
                                <w:szCs w:val="28"/>
                              </w:rPr>
                              <w:t xml:space="preserve">BT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Administrative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x+IAIAAB0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045124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D86D33" w:rsidRPr="00DD67D4" w:rsidRDefault="0011136B" w:rsidP="00EC5F3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C5F3C">
                        <w:rPr>
                          <w:sz w:val="28"/>
                          <w:szCs w:val="28"/>
                        </w:rPr>
                        <w:t xml:space="preserve">BT - </w:t>
                      </w:r>
                      <w:r>
                        <w:rPr>
                          <w:sz w:val="28"/>
                          <w:szCs w:val="28"/>
                        </w:rPr>
                        <w:t>Administrative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630"/>
        <w:gridCol w:w="540"/>
        <w:gridCol w:w="540"/>
        <w:gridCol w:w="630"/>
        <w:gridCol w:w="2700"/>
        <w:gridCol w:w="1643"/>
      </w:tblGrid>
      <w:tr w:rsidR="00BD787A" w:rsidTr="00287235">
        <w:tc>
          <w:tcPr>
            <w:tcW w:w="449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056F4B" w:rsidRPr="00E67D37" w:rsidRDefault="0011136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1136B" w:rsidTr="00287235">
        <w:tc>
          <w:tcPr>
            <w:tcW w:w="4495" w:type="dxa"/>
          </w:tcPr>
          <w:p w:rsidR="0011136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11136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136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1136B" w:rsidRPr="00E67D37" w:rsidRDefault="001113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1136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11136B" w:rsidRPr="00E67D37" w:rsidRDefault="0011136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1136B" w:rsidRPr="00E67D37" w:rsidRDefault="001113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287235" w:rsidRDefault="0019291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1C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Designing Web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Maintaining Digital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20766" w:rsidTr="00287235">
        <w:tc>
          <w:tcPr>
            <w:tcW w:w="4495" w:type="dxa"/>
          </w:tcPr>
          <w:p w:rsidR="0032076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    OR</w:t>
            </w:r>
          </w:p>
          <w:p w:rsidR="00EC5F3C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BT 0135: Employee and HR Principles</w:t>
            </w:r>
          </w:p>
        </w:tc>
        <w:tc>
          <w:tcPr>
            <w:tcW w:w="630" w:type="dxa"/>
            <w:vAlign w:val="center"/>
          </w:tcPr>
          <w:p w:rsidR="00320766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  <w:p w:rsidR="00EC5F3C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F3C" w:rsidRPr="00E67D37" w:rsidRDefault="00EC5F3C" w:rsidP="00487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320766" w:rsidRPr="00E67D37" w:rsidRDefault="0032076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20766" w:rsidRDefault="0048745D" w:rsidP="00487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48745D" w:rsidRPr="00E67D37" w:rsidRDefault="0048745D" w:rsidP="00487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320766" w:rsidRDefault="00320766" w:rsidP="00CF321F">
            <w:pPr>
              <w:pStyle w:val="NoSpacing"/>
              <w:rPr>
                <w:sz w:val="16"/>
                <w:szCs w:val="16"/>
              </w:rPr>
            </w:pPr>
          </w:p>
          <w:p w:rsidR="0048745D" w:rsidRPr="00E67D37" w:rsidRDefault="0048745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BT0117</w:t>
            </w:r>
          </w:p>
        </w:tc>
        <w:tc>
          <w:tcPr>
            <w:tcW w:w="1643" w:type="dxa"/>
          </w:tcPr>
          <w:p w:rsidR="00320766" w:rsidRPr="00E67D37" w:rsidRDefault="0032076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287235" w:rsidRDefault="0019291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87235"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rPr>
          <w:trHeight w:val="110"/>
        </w:trPr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8B1851" w:rsidRPr="00194BA6" w:rsidRDefault="008B1851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96688" w:rsidTr="00287235">
        <w:tc>
          <w:tcPr>
            <w:tcW w:w="4495" w:type="dxa"/>
          </w:tcPr>
          <w:p w:rsidR="00896688" w:rsidRPr="00194BA6" w:rsidRDefault="0089668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96688" w:rsidRPr="00194BA6" w:rsidRDefault="0089668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96688" w:rsidRPr="00194BA6" w:rsidRDefault="0089668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090762" w:rsidRPr="00943870" w:rsidRDefault="00090762" w:rsidP="000907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090762" w:rsidP="00090762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90"/>
        <w:gridCol w:w="1902"/>
        <w:gridCol w:w="1708"/>
        <w:gridCol w:w="899"/>
        <w:gridCol w:w="250"/>
        <w:gridCol w:w="101"/>
        <w:gridCol w:w="23"/>
        <w:gridCol w:w="697"/>
      </w:tblGrid>
      <w:tr w:rsidR="00B60C98" w:rsidRPr="00B60C98" w:rsidTr="00287235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045124" w:rsidP="00287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8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D4130" w:rsidRDefault="00BD4130" w:rsidP="007B045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Objectives</w:t>
            </w:r>
            <w:r w:rsidR="007B0455">
              <w:rPr>
                <w:b/>
                <w:sz w:val="20"/>
                <w:szCs w:val="20"/>
              </w:rPr>
              <w:t>:</w:t>
            </w:r>
            <w:r w:rsidRPr="00BD4130">
              <w:rPr>
                <w:b/>
                <w:sz w:val="20"/>
                <w:szCs w:val="20"/>
              </w:rPr>
              <w:t xml:space="preserve"> N</w:t>
            </w:r>
            <w:r w:rsidR="00EF647E" w:rsidRPr="00BD4130">
              <w:rPr>
                <w:b/>
                <w:sz w:val="20"/>
                <w:szCs w:val="20"/>
              </w:rPr>
              <w:t>ot Required for ITC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28723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ITC </w:t>
            </w:r>
            <w:r w:rsidR="00090762">
              <w:rPr>
                <w:b/>
                <w:sz w:val="18"/>
                <w:szCs w:val="18"/>
              </w:rPr>
              <w:t xml:space="preserve">– BT Admin Technology </w:t>
            </w: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B60C98" w:rsidRPr="00D451FC" w:rsidRDefault="00B64F1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32-34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090762" w:rsidP="00090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 </w:t>
            </w:r>
            <w:r w:rsidR="00B60C98" w:rsidRPr="00B60C98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287235">
        <w:tc>
          <w:tcPr>
            <w:tcW w:w="4885" w:type="dxa"/>
            <w:shd w:val="clear" w:color="auto" w:fill="auto"/>
          </w:tcPr>
          <w:p w:rsidR="00777362" w:rsidRPr="001F656B" w:rsidRDefault="00896688" w:rsidP="00B64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</w:t>
            </w:r>
            <w:r w:rsidR="00B64F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: </w:t>
            </w:r>
            <w:r w:rsidR="00B64F14">
              <w:rPr>
                <w:sz w:val="18"/>
                <w:szCs w:val="18"/>
              </w:rPr>
              <w:t>Applied Business Principles</w:t>
            </w:r>
          </w:p>
        </w:tc>
        <w:tc>
          <w:tcPr>
            <w:tcW w:w="690" w:type="dxa"/>
            <w:shd w:val="clear" w:color="auto" w:fill="auto"/>
          </w:tcPr>
          <w:p w:rsidR="00777362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777362" w:rsidRPr="00B60C98" w:rsidRDefault="00777362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690" w:type="dxa"/>
          </w:tcPr>
          <w:p w:rsidR="00B60C98" w:rsidRPr="001F656B" w:rsidRDefault="00B64F1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0C98" w:rsidRPr="00B60C98" w:rsidRDefault="00B60C98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</w:t>
            </w:r>
            <w:r w:rsidR="00090762">
              <w:rPr>
                <w:sz w:val="18"/>
                <w:szCs w:val="18"/>
              </w:rPr>
              <w:t xml:space="preserve">. Spoken English   </w:t>
            </w:r>
            <w:r w:rsidRPr="00B60C9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09076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896688" w:rsidP="00B64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B64F14">
              <w:rPr>
                <w:sz w:val="18"/>
                <w:szCs w:val="18"/>
              </w:rPr>
              <w:t>0120: Basic Accounting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60C98" w:rsidRPr="00B60C98" w:rsidRDefault="00B60C98" w:rsidP="0009076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89668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690" w:type="dxa"/>
            <w:shd w:val="clear" w:color="auto" w:fill="auto"/>
          </w:tcPr>
          <w:p w:rsidR="00D30A41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89668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896688" w:rsidP="00B64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B64F14">
              <w:rPr>
                <w:sz w:val="18"/>
                <w:szCs w:val="18"/>
              </w:rPr>
              <w:t>0170: Computer Literacy and Business Software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B60C98" w:rsidRPr="00B60C98" w:rsidRDefault="00B60C98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89668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</w:t>
            </w:r>
            <w:r w:rsidR="00B64F14">
              <w:rPr>
                <w:sz w:val="18"/>
                <w:szCs w:val="18"/>
              </w:rPr>
              <w:t xml:space="preserve"> 0171: Computerized Accounting</w:t>
            </w:r>
          </w:p>
        </w:tc>
        <w:tc>
          <w:tcPr>
            <w:tcW w:w="690" w:type="dxa"/>
            <w:shd w:val="clear" w:color="auto" w:fill="auto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91982" w:rsidRDefault="00B64F14" w:rsidP="00D451FC">
            <w:pPr>
              <w:jc w:val="both"/>
              <w:rPr>
                <w:sz w:val="18"/>
                <w:szCs w:val="18"/>
              </w:rPr>
            </w:pPr>
            <w:r w:rsidRPr="00F91982">
              <w:rPr>
                <w:sz w:val="18"/>
                <w:szCs w:val="18"/>
              </w:rPr>
              <w:t xml:space="preserve">BT 0180: </w:t>
            </w:r>
            <w:r w:rsidR="00F91982" w:rsidRPr="00F91982">
              <w:rPr>
                <w:sz w:val="18"/>
                <w:szCs w:val="18"/>
              </w:rPr>
              <w:t xml:space="preserve"> Designing Web Communications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60C98" w:rsidRPr="00B60C98" w:rsidRDefault="00B60C98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C70AE1" w:rsidRPr="00B60C98" w:rsidTr="002874A0"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AE1" w:rsidRPr="001F656B" w:rsidRDefault="00B64F14" w:rsidP="002874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0181: Maintaining Digital Communications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C70AE1" w:rsidRPr="001F656B" w:rsidRDefault="00896688" w:rsidP="00CA5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C70AE1" w:rsidRPr="00B60C98" w:rsidRDefault="00C70A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70AE1" w:rsidRPr="00B60C98" w:rsidRDefault="00C70AE1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4F14" w:rsidRPr="00B60C98" w:rsidTr="002874A0">
        <w:tc>
          <w:tcPr>
            <w:tcW w:w="4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14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    OR</w:t>
            </w:r>
          </w:p>
          <w:p w:rsidR="00B64F14" w:rsidRPr="001F656B" w:rsidRDefault="00B64F14" w:rsidP="00A30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BT 0135: Employees and HR Principles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</w:tcPr>
          <w:p w:rsidR="00B64F14" w:rsidRPr="001F656B" w:rsidRDefault="00B64F1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43CD">
              <w:rPr>
                <w:sz w:val="18"/>
                <w:szCs w:val="18"/>
              </w:rPr>
              <w:t>-2</w:t>
            </w:r>
          </w:p>
          <w:p w:rsidR="00B64F14" w:rsidRPr="001F656B" w:rsidRDefault="00B64F14" w:rsidP="002C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4F14" w:rsidRPr="00B60C98" w:rsidRDefault="00B64F14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4F14" w:rsidRPr="00B60C98" w:rsidRDefault="00B64F14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4F14" w:rsidRPr="00B60C98" w:rsidTr="00A303AB"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14" w:rsidRPr="001F656B" w:rsidRDefault="00B64F14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64F14" w:rsidRPr="001F656B" w:rsidRDefault="00B64F1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B64F14" w:rsidRPr="00B60C98" w:rsidRDefault="00B64F14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4F14" w:rsidP="00896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87235" w:rsidP="0025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8745D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87235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87235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287235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8966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8745D">
              <w:rPr>
                <w:sz w:val="18"/>
                <w:szCs w:val="20"/>
              </w:rPr>
              <w:t>3</w:t>
            </w:r>
            <w:r w:rsidR="00896688">
              <w:rPr>
                <w:sz w:val="18"/>
                <w:szCs w:val="20"/>
              </w:rPr>
              <w:t>0</w:t>
            </w:r>
            <w:r w:rsidR="00B60C98" w:rsidRPr="00B60C98">
              <w:rPr>
                <w:sz w:val="18"/>
                <w:szCs w:val="20"/>
              </w:rPr>
              <w:t xml:space="preserve"> cr. </w:t>
            </w:r>
            <w:r w:rsidR="00257532">
              <w:rPr>
                <w:sz w:val="18"/>
                <w:szCs w:val="20"/>
              </w:rPr>
              <w:t>Total (ITC)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287235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B6E43" w:rsidP="00045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1D5E2E">
              <w:rPr>
                <w:sz w:val="20"/>
                <w:szCs w:val="20"/>
              </w:rPr>
              <w:t>06/18/2019</w:t>
            </w: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583"/>
    <w:multiLevelType w:val="hybridMultilevel"/>
    <w:tmpl w:val="16F62CCE"/>
    <w:lvl w:ilvl="0" w:tplc="ED2E9C9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141B"/>
    <w:multiLevelType w:val="hybridMultilevel"/>
    <w:tmpl w:val="383600D2"/>
    <w:lvl w:ilvl="0" w:tplc="8EE45C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124"/>
    <w:rsid w:val="0004615F"/>
    <w:rsid w:val="00056F4B"/>
    <w:rsid w:val="00061C69"/>
    <w:rsid w:val="000717A1"/>
    <w:rsid w:val="0007395E"/>
    <w:rsid w:val="00085859"/>
    <w:rsid w:val="00090762"/>
    <w:rsid w:val="00095FD1"/>
    <w:rsid w:val="000B6EFB"/>
    <w:rsid w:val="000C4C05"/>
    <w:rsid w:val="000D3B74"/>
    <w:rsid w:val="000D6D37"/>
    <w:rsid w:val="0011136B"/>
    <w:rsid w:val="00121BC3"/>
    <w:rsid w:val="00122166"/>
    <w:rsid w:val="00170351"/>
    <w:rsid w:val="00192915"/>
    <w:rsid w:val="00194BA6"/>
    <w:rsid w:val="001B04E4"/>
    <w:rsid w:val="001B3715"/>
    <w:rsid w:val="001B3F81"/>
    <w:rsid w:val="001B6F46"/>
    <w:rsid w:val="001C3064"/>
    <w:rsid w:val="001C7153"/>
    <w:rsid w:val="001D5E2E"/>
    <w:rsid w:val="001F656B"/>
    <w:rsid w:val="00221773"/>
    <w:rsid w:val="00231E3C"/>
    <w:rsid w:val="00243804"/>
    <w:rsid w:val="00257532"/>
    <w:rsid w:val="00287235"/>
    <w:rsid w:val="00292C65"/>
    <w:rsid w:val="002A1B37"/>
    <w:rsid w:val="002A64DB"/>
    <w:rsid w:val="002B3085"/>
    <w:rsid w:val="002C6294"/>
    <w:rsid w:val="002D4F2A"/>
    <w:rsid w:val="002E5A9E"/>
    <w:rsid w:val="00320766"/>
    <w:rsid w:val="00323750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8745D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67A2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0455"/>
    <w:rsid w:val="007B6727"/>
    <w:rsid w:val="007D4D67"/>
    <w:rsid w:val="007E04EE"/>
    <w:rsid w:val="007F10D7"/>
    <w:rsid w:val="00826C6E"/>
    <w:rsid w:val="008560B4"/>
    <w:rsid w:val="008621B9"/>
    <w:rsid w:val="00864D96"/>
    <w:rsid w:val="008767B8"/>
    <w:rsid w:val="00896688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07CA"/>
    <w:rsid w:val="00AB7151"/>
    <w:rsid w:val="00AC15BC"/>
    <w:rsid w:val="00AC5A04"/>
    <w:rsid w:val="00B60C98"/>
    <w:rsid w:val="00B61C40"/>
    <w:rsid w:val="00B64F14"/>
    <w:rsid w:val="00B67A57"/>
    <w:rsid w:val="00BA1F3D"/>
    <w:rsid w:val="00BA2629"/>
    <w:rsid w:val="00BA7BDE"/>
    <w:rsid w:val="00BB7709"/>
    <w:rsid w:val="00BC0FEE"/>
    <w:rsid w:val="00BD4130"/>
    <w:rsid w:val="00BD787A"/>
    <w:rsid w:val="00BE4066"/>
    <w:rsid w:val="00BF6768"/>
    <w:rsid w:val="00C04A5A"/>
    <w:rsid w:val="00C17DB2"/>
    <w:rsid w:val="00C268BE"/>
    <w:rsid w:val="00C35E9C"/>
    <w:rsid w:val="00C70AE1"/>
    <w:rsid w:val="00C7700A"/>
    <w:rsid w:val="00C879BC"/>
    <w:rsid w:val="00CA528E"/>
    <w:rsid w:val="00CB6AEA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057"/>
    <w:rsid w:val="00D86D33"/>
    <w:rsid w:val="00D914C1"/>
    <w:rsid w:val="00DA1BEE"/>
    <w:rsid w:val="00DB202D"/>
    <w:rsid w:val="00DC4E37"/>
    <w:rsid w:val="00DD67D4"/>
    <w:rsid w:val="00DF097F"/>
    <w:rsid w:val="00E443CD"/>
    <w:rsid w:val="00E67D37"/>
    <w:rsid w:val="00E71323"/>
    <w:rsid w:val="00E725D8"/>
    <w:rsid w:val="00E80337"/>
    <w:rsid w:val="00EB6E43"/>
    <w:rsid w:val="00EC5F3C"/>
    <w:rsid w:val="00EF647E"/>
    <w:rsid w:val="00F02567"/>
    <w:rsid w:val="00F5131F"/>
    <w:rsid w:val="00F74EE3"/>
    <w:rsid w:val="00F84E02"/>
    <w:rsid w:val="00F859C0"/>
    <w:rsid w:val="00F9198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2018-02-07T17:13:00Z</cp:lastPrinted>
  <dcterms:created xsi:type="dcterms:W3CDTF">2019-06-18T18:00:00Z</dcterms:created>
  <dcterms:modified xsi:type="dcterms:W3CDTF">2019-06-20T15:35:00Z</dcterms:modified>
</cp:coreProperties>
</file>