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-180975</wp:posOffset>
                </wp:positionV>
                <wp:extent cx="4126230" cy="7810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B36005" w:rsidRPr="00DD67D4" w:rsidRDefault="00847CF8" w:rsidP="001C114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B96C2E">
                              <w:rPr>
                                <w:sz w:val="28"/>
                                <w:szCs w:val="28"/>
                              </w:rPr>
                              <w:t>TC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1C1144">
                              <w:rPr>
                                <w:sz w:val="28"/>
                                <w:szCs w:val="28"/>
                              </w:rPr>
                              <w:t xml:space="preserve">Automotive </w:t>
                            </w:r>
                            <w:r w:rsidR="000B2A9C">
                              <w:rPr>
                                <w:sz w:val="28"/>
                                <w:szCs w:val="28"/>
                              </w:rPr>
                              <w:t>Collision Repair</w:t>
                            </w:r>
                            <w:r w:rsidR="001C114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4.25pt;width:324.9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B36005" w:rsidRPr="00DD67D4" w:rsidRDefault="00847CF8" w:rsidP="001C1144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</w:t>
                      </w:r>
                      <w:r w:rsidR="00B96C2E">
                        <w:rPr>
                          <w:sz w:val="28"/>
                          <w:szCs w:val="28"/>
                        </w:rPr>
                        <w:t>TC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1C1144">
                        <w:rPr>
                          <w:sz w:val="28"/>
                          <w:szCs w:val="28"/>
                        </w:rPr>
                        <w:t xml:space="preserve">Automotive </w:t>
                      </w:r>
                      <w:r w:rsidR="000B2A9C">
                        <w:rPr>
                          <w:sz w:val="28"/>
                          <w:szCs w:val="28"/>
                        </w:rPr>
                        <w:t>Collision Repair</w:t>
                      </w:r>
                      <w:r w:rsidR="001C114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610"/>
        <w:gridCol w:w="1463"/>
      </w:tblGrid>
      <w:tr w:rsidR="00BD787A" w:rsidTr="00D7217D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61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46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D7217D">
        <w:tc>
          <w:tcPr>
            <w:tcW w:w="4765" w:type="dxa"/>
          </w:tcPr>
          <w:p w:rsidR="00056F4B" w:rsidRPr="00E67D37" w:rsidRDefault="0066690D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0101: Introduction to Collision Repair Safety</w:t>
            </w:r>
          </w:p>
        </w:tc>
        <w:tc>
          <w:tcPr>
            <w:tcW w:w="630" w:type="dxa"/>
            <w:vAlign w:val="center"/>
          </w:tcPr>
          <w:p w:rsidR="00056F4B" w:rsidRPr="00E67D37" w:rsidRDefault="006669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6669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7217D">
        <w:tc>
          <w:tcPr>
            <w:tcW w:w="4765" w:type="dxa"/>
          </w:tcPr>
          <w:p w:rsidR="00056F4B" w:rsidRPr="00E67D37" w:rsidRDefault="0066690D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0102: Introduction to Welding for Collision Repair</w:t>
            </w:r>
          </w:p>
        </w:tc>
        <w:tc>
          <w:tcPr>
            <w:tcW w:w="630" w:type="dxa"/>
            <w:vAlign w:val="center"/>
          </w:tcPr>
          <w:p w:rsidR="00056F4B" w:rsidRPr="00E67D37" w:rsidRDefault="006669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E67D37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6669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6690D" w:rsidTr="00D7217D">
        <w:tc>
          <w:tcPr>
            <w:tcW w:w="4765" w:type="dxa"/>
          </w:tcPr>
          <w:p w:rsidR="0066690D" w:rsidRPr="00E67D37" w:rsidRDefault="0066690D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0103: Introduction to Welding for Collision Repair Lab</w:t>
            </w:r>
          </w:p>
        </w:tc>
        <w:tc>
          <w:tcPr>
            <w:tcW w:w="630" w:type="dxa"/>
            <w:vAlign w:val="center"/>
          </w:tcPr>
          <w:p w:rsidR="0066690D" w:rsidRPr="00E67D37" w:rsidRDefault="006669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6690D" w:rsidRPr="00E67D37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66690D" w:rsidRPr="00E67D37" w:rsidRDefault="006669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6690D" w:rsidRPr="00E67D37" w:rsidRDefault="006669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  <w:vAlign w:val="center"/>
          </w:tcPr>
          <w:p w:rsidR="0066690D" w:rsidRPr="00E67D37" w:rsidRDefault="006669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690D" w:rsidRPr="00E67D37" w:rsidRDefault="006669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6690D" w:rsidTr="00D7217D">
        <w:tc>
          <w:tcPr>
            <w:tcW w:w="4765" w:type="dxa"/>
          </w:tcPr>
          <w:p w:rsidR="0066690D" w:rsidRPr="00E67D37" w:rsidRDefault="0066690D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0104: Fundamentals of Auto Collision Repair/Refinishing</w:t>
            </w:r>
          </w:p>
        </w:tc>
        <w:tc>
          <w:tcPr>
            <w:tcW w:w="630" w:type="dxa"/>
            <w:vAlign w:val="center"/>
          </w:tcPr>
          <w:p w:rsidR="0066690D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6690D" w:rsidRPr="00E67D37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66690D" w:rsidRPr="00E67D37" w:rsidRDefault="006669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6690D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  <w:vAlign w:val="center"/>
          </w:tcPr>
          <w:p w:rsidR="0066690D" w:rsidRPr="00E67D37" w:rsidRDefault="006669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690D" w:rsidRPr="00E67D37" w:rsidRDefault="006669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6690D" w:rsidTr="00D7217D">
        <w:tc>
          <w:tcPr>
            <w:tcW w:w="4765" w:type="dxa"/>
          </w:tcPr>
          <w:p w:rsidR="0066690D" w:rsidRPr="00E67D37" w:rsidRDefault="00D7217D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0105: Detailing and Polishing</w:t>
            </w:r>
          </w:p>
        </w:tc>
        <w:tc>
          <w:tcPr>
            <w:tcW w:w="630" w:type="dxa"/>
            <w:vAlign w:val="center"/>
          </w:tcPr>
          <w:p w:rsidR="0066690D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6690D" w:rsidRPr="00E67D37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66690D" w:rsidRPr="00E67D37" w:rsidRDefault="006669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6690D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  <w:vAlign w:val="center"/>
          </w:tcPr>
          <w:p w:rsidR="0066690D" w:rsidRPr="00E67D37" w:rsidRDefault="006669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690D" w:rsidRPr="00E67D37" w:rsidRDefault="006669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6690D" w:rsidTr="00D7217D">
        <w:tc>
          <w:tcPr>
            <w:tcW w:w="4765" w:type="dxa"/>
          </w:tcPr>
          <w:p w:rsidR="0066690D" w:rsidRPr="00E67D37" w:rsidRDefault="00D7217D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0106: Minor Collision Repair Theory</w:t>
            </w:r>
          </w:p>
        </w:tc>
        <w:tc>
          <w:tcPr>
            <w:tcW w:w="630" w:type="dxa"/>
            <w:vAlign w:val="center"/>
          </w:tcPr>
          <w:p w:rsidR="0066690D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6690D" w:rsidRPr="00E67D37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66690D" w:rsidRPr="00E67D37" w:rsidRDefault="006669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6690D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  <w:vAlign w:val="center"/>
          </w:tcPr>
          <w:p w:rsidR="0066690D" w:rsidRPr="00E67D37" w:rsidRDefault="006669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690D" w:rsidRPr="00E67D37" w:rsidRDefault="006669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6690D" w:rsidTr="00D7217D">
        <w:tc>
          <w:tcPr>
            <w:tcW w:w="4765" w:type="dxa"/>
          </w:tcPr>
          <w:p w:rsidR="0066690D" w:rsidRPr="00E67D37" w:rsidRDefault="00D7217D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0107: Minor Collision Repair Lab</w:t>
            </w:r>
          </w:p>
        </w:tc>
        <w:tc>
          <w:tcPr>
            <w:tcW w:w="630" w:type="dxa"/>
            <w:vAlign w:val="center"/>
          </w:tcPr>
          <w:p w:rsidR="0066690D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6690D" w:rsidRPr="00E67D37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66690D" w:rsidRPr="00E67D37" w:rsidRDefault="006669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6690D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  <w:vAlign w:val="center"/>
          </w:tcPr>
          <w:p w:rsidR="0066690D" w:rsidRPr="00E67D37" w:rsidRDefault="006669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690D" w:rsidRPr="00E67D37" w:rsidRDefault="006669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7217D">
        <w:tc>
          <w:tcPr>
            <w:tcW w:w="4765" w:type="dxa"/>
          </w:tcPr>
          <w:p w:rsidR="00056F4B" w:rsidRPr="00E67D37" w:rsidRDefault="00D7217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0108: Fundamentals of Auto Collision Repair/Refinish Lab</w:t>
            </w:r>
          </w:p>
        </w:tc>
        <w:tc>
          <w:tcPr>
            <w:tcW w:w="630" w:type="dxa"/>
            <w:vAlign w:val="center"/>
          </w:tcPr>
          <w:p w:rsidR="00056F4B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D7217D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B96C2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2B600D" w:rsidTr="00D7217D">
        <w:tc>
          <w:tcPr>
            <w:tcW w:w="4765" w:type="dxa"/>
          </w:tcPr>
          <w:p w:rsidR="002B600D" w:rsidRPr="00194BA6" w:rsidRDefault="000B2A9C" w:rsidP="000B2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0211</w:t>
            </w:r>
            <w:r w:rsidR="00D7217D">
              <w:rPr>
                <w:sz w:val="16"/>
                <w:szCs w:val="16"/>
              </w:rPr>
              <w:t xml:space="preserve">: Advanced </w:t>
            </w:r>
            <w:r>
              <w:rPr>
                <w:sz w:val="16"/>
                <w:szCs w:val="16"/>
              </w:rPr>
              <w:t>Collision Repair</w:t>
            </w:r>
            <w:r w:rsidR="00D7217D">
              <w:rPr>
                <w:sz w:val="16"/>
                <w:szCs w:val="16"/>
              </w:rPr>
              <w:t xml:space="preserve"> I</w:t>
            </w:r>
            <w:r>
              <w:rPr>
                <w:sz w:val="16"/>
                <w:szCs w:val="16"/>
              </w:rPr>
              <w:t>I</w:t>
            </w:r>
            <w:r w:rsidR="00634B35">
              <w:rPr>
                <w:sz w:val="16"/>
                <w:szCs w:val="16"/>
              </w:rPr>
              <w:t xml:space="preserve">                           (early 8 week)</w:t>
            </w:r>
          </w:p>
        </w:tc>
        <w:tc>
          <w:tcPr>
            <w:tcW w:w="630" w:type="dxa"/>
            <w:vAlign w:val="center"/>
          </w:tcPr>
          <w:p w:rsidR="002B600D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2B600D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</w:tcPr>
          <w:p w:rsidR="002B600D" w:rsidRPr="00FD7506" w:rsidRDefault="000B2A9C" w:rsidP="00CF321F">
            <w:pPr>
              <w:pStyle w:val="NoSpacing"/>
              <w:rPr>
                <w:sz w:val="16"/>
                <w:szCs w:val="16"/>
                <w:highlight w:val="yellow"/>
              </w:rPr>
            </w:pPr>
            <w:r w:rsidRPr="00FD7506">
              <w:rPr>
                <w:sz w:val="16"/>
                <w:szCs w:val="16"/>
                <w:highlight w:val="yellow"/>
              </w:rPr>
              <w:t>ACCR 0210</w:t>
            </w:r>
          </w:p>
        </w:tc>
        <w:tc>
          <w:tcPr>
            <w:tcW w:w="146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7217D">
        <w:tc>
          <w:tcPr>
            <w:tcW w:w="4765" w:type="dxa"/>
          </w:tcPr>
          <w:p w:rsidR="00056F4B" w:rsidRDefault="000B2A9C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0212</w:t>
            </w:r>
            <w:r w:rsidR="00D7217D">
              <w:rPr>
                <w:sz w:val="16"/>
                <w:szCs w:val="16"/>
              </w:rPr>
              <w:t>: Advanced Refinishing II</w:t>
            </w:r>
            <w:r>
              <w:rPr>
                <w:sz w:val="16"/>
                <w:szCs w:val="16"/>
              </w:rPr>
              <w:t xml:space="preserve">  OR</w:t>
            </w:r>
            <w:r w:rsidR="00634B35">
              <w:rPr>
                <w:sz w:val="16"/>
                <w:szCs w:val="16"/>
              </w:rPr>
              <w:t xml:space="preserve">                              (late 8 week)</w:t>
            </w:r>
          </w:p>
          <w:p w:rsidR="000B2A9C" w:rsidRPr="00194BA6" w:rsidRDefault="000B2A9C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ACCR 0252: Internship</w:t>
            </w:r>
          </w:p>
        </w:tc>
        <w:tc>
          <w:tcPr>
            <w:tcW w:w="630" w:type="dxa"/>
            <w:vAlign w:val="center"/>
          </w:tcPr>
          <w:p w:rsidR="00056F4B" w:rsidRPr="00E67D37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056F4B" w:rsidRPr="00E67D37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  <w:p w:rsidR="000B2A9C" w:rsidRPr="00E67D37" w:rsidRDefault="000B2A9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</w:tcPr>
          <w:p w:rsidR="00056F4B" w:rsidRPr="00FD7506" w:rsidRDefault="000B2A9C" w:rsidP="00CF321F">
            <w:pPr>
              <w:pStyle w:val="NoSpacing"/>
              <w:rPr>
                <w:sz w:val="16"/>
                <w:szCs w:val="16"/>
                <w:highlight w:val="yellow"/>
              </w:rPr>
            </w:pPr>
            <w:r w:rsidRPr="00FD7506">
              <w:rPr>
                <w:sz w:val="16"/>
                <w:szCs w:val="16"/>
                <w:highlight w:val="yellow"/>
              </w:rPr>
              <w:t>ACRR 0210</w:t>
            </w:r>
          </w:p>
          <w:p w:rsidR="000B2A9C" w:rsidRPr="00FD7506" w:rsidRDefault="000B2A9C" w:rsidP="00CF321F">
            <w:pPr>
              <w:pStyle w:val="NoSpacing"/>
              <w:rPr>
                <w:sz w:val="16"/>
                <w:szCs w:val="16"/>
                <w:highlight w:val="yellow"/>
              </w:rPr>
            </w:pPr>
            <w:r w:rsidRPr="00FD7506">
              <w:rPr>
                <w:sz w:val="16"/>
                <w:szCs w:val="16"/>
                <w:highlight w:val="yellow"/>
              </w:rPr>
              <w:t>ACRR 0161</w:t>
            </w:r>
            <w:r w:rsidRPr="00955D91">
              <w:rPr>
                <w:sz w:val="16"/>
                <w:szCs w:val="16"/>
              </w:rPr>
              <w:t>, 0211</w:t>
            </w: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7217D">
        <w:tc>
          <w:tcPr>
            <w:tcW w:w="4765" w:type="dxa"/>
          </w:tcPr>
          <w:p w:rsidR="00056F4B" w:rsidRPr="00194BA6" w:rsidRDefault="00056F4B" w:rsidP="00E6320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D7217D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B96C2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D7217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6E098C">
              <w:rPr>
                <w:sz w:val="16"/>
                <w:szCs w:val="16"/>
              </w:rPr>
              <w:t>Three</w:t>
            </w:r>
          </w:p>
        </w:tc>
      </w:tr>
      <w:tr w:rsidR="00BD787A" w:rsidTr="00D7217D">
        <w:tc>
          <w:tcPr>
            <w:tcW w:w="4765" w:type="dxa"/>
          </w:tcPr>
          <w:p w:rsidR="00D7217D" w:rsidRPr="00194BA6" w:rsidRDefault="00D7217D" w:rsidP="000B2A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ACRR </w:t>
            </w:r>
            <w:r w:rsidR="000B2A9C">
              <w:rPr>
                <w:sz w:val="16"/>
                <w:szCs w:val="16"/>
              </w:rPr>
              <w:t>0210: Advanced Collision Repair I</w:t>
            </w:r>
          </w:p>
        </w:tc>
        <w:tc>
          <w:tcPr>
            <w:tcW w:w="630" w:type="dxa"/>
            <w:vAlign w:val="center"/>
          </w:tcPr>
          <w:p w:rsidR="00056F4B" w:rsidRPr="00194BA6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056F4B" w:rsidRPr="00194BA6" w:rsidRDefault="00B9554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D7217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</w:tcPr>
          <w:p w:rsidR="00D7217D" w:rsidRPr="000259CE" w:rsidRDefault="00D7217D" w:rsidP="000B2A9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ACRR </w:t>
            </w:r>
            <w:r w:rsidR="000B2A9C">
              <w:rPr>
                <w:sz w:val="16"/>
                <w:szCs w:val="16"/>
              </w:rPr>
              <w:t>0101, 0102, 0103, 0104, 0105, 0106, 0107, 0108</w:t>
            </w:r>
          </w:p>
        </w:tc>
        <w:tc>
          <w:tcPr>
            <w:tcW w:w="1463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D7217D">
        <w:tc>
          <w:tcPr>
            <w:tcW w:w="4765" w:type="dxa"/>
          </w:tcPr>
          <w:p w:rsidR="00E6320C" w:rsidRDefault="00E6320C" w:rsidP="0029467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D7217D">
        <w:tc>
          <w:tcPr>
            <w:tcW w:w="4765" w:type="dxa"/>
          </w:tcPr>
          <w:p w:rsidR="00E6320C" w:rsidRDefault="00E6320C" w:rsidP="00294674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Pr="00194BA6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7217D">
        <w:tc>
          <w:tcPr>
            <w:tcW w:w="4765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C47DAC" w:rsidRDefault="006E098C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4BA6" w:rsidRDefault="006E098C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CD01B3" w:rsidTr="00D7217D">
        <w:tc>
          <w:tcPr>
            <w:tcW w:w="4765" w:type="dxa"/>
          </w:tcPr>
          <w:p w:rsidR="00CD01B3" w:rsidRDefault="00CD01B3" w:rsidP="00B3600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D01B3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D01B3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D01B3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01B3" w:rsidRPr="00292C65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CD01B3" w:rsidRPr="000259CE" w:rsidRDefault="00CD01B3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CD01B3" w:rsidRPr="000259CE" w:rsidRDefault="00CD01B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7217D">
        <w:tc>
          <w:tcPr>
            <w:tcW w:w="4765" w:type="dxa"/>
          </w:tcPr>
          <w:p w:rsidR="00D7217D" w:rsidRPr="00292C65" w:rsidRDefault="00D7217D" w:rsidP="00D27DA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D7217D" w:rsidRPr="000259CE" w:rsidRDefault="00D7217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7217D">
        <w:tc>
          <w:tcPr>
            <w:tcW w:w="4765" w:type="dxa"/>
          </w:tcPr>
          <w:p w:rsidR="00BD787A" w:rsidRPr="00292C65" w:rsidRDefault="00BD787A" w:rsidP="00D27DA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D7217D">
        <w:tc>
          <w:tcPr>
            <w:tcW w:w="4765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C47DAC" w:rsidRDefault="00BD787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  <w:bookmarkStart w:id="0" w:name="_GoBack"/>
      <w:bookmarkEnd w:id="0"/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6F7D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r w:rsidR="006F7DC5">
              <w:rPr>
                <w:b/>
                <w:sz w:val="20"/>
                <w:szCs w:val="20"/>
              </w:rPr>
              <w:t>Gen Ed Objectives not required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6F7DC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4F5ADE" w:rsidP="000B2A9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ACRR</w:t>
            </w:r>
            <w:r w:rsidR="00FF17C3">
              <w:rPr>
                <w:b/>
                <w:sz w:val="18"/>
                <w:szCs w:val="18"/>
              </w:rPr>
              <w:t>,</w:t>
            </w:r>
            <w:r w:rsidR="00B1342D">
              <w:rPr>
                <w:b/>
                <w:sz w:val="18"/>
                <w:szCs w:val="18"/>
              </w:rPr>
              <w:t xml:space="preserve"> </w:t>
            </w:r>
            <w:r w:rsidR="000B2A9C">
              <w:rPr>
                <w:b/>
                <w:sz w:val="18"/>
                <w:szCs w:val="18"/>
              </w:rPr>
              <w:t>Collision</w:t>
            </w:r>
            <w:r w:rsidR="00847CF8">
              <w:rPr>
                <w:b/>
                <w:sz w:val="18"/>
                <w:szCs w:val="18"/>
              </w:rPr>
              <w:t xml:space="preserve"> I</w:t>
            </w:r>
            <w:r w:rsidR="00CF6B23">
              <w:rPr>
                <w:b/>
                <w:sz w:val="18"/>
                <w:szCs w:val="18"/>
              </w:rPr>
              <w:t>TC</w:t>
            </w:r>
            <w:r w:rsidR="00A73D2C">
              <w:rPr>
                <w:b/>
                <w:sz w:val="18"/>
                <w:szCs w:val="18"/>
              </w:rPr>
              <w:t xml:space="preserve"> -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847CF8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9960A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0101 Introduction to Collision Repair Safety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9960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9960A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0102 Introduction to Welding for Collision Repair</w:t>
            </w:r>
          </w:p>
        </w:tc>
        <w:tc>
          <w:tcPr>
            <w:tcW w:w="720" w:type="dxa"/>
          </w:tcPr>
          <w:p w:rsidR="00B60C98" w:rsidRPr="001F656B" w:rsidRDefault="009960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9960A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0103 Introduction to Welding for Collision Repair Lab</w:t>
            </w:r>
          </w:p>
        </w:tc>
        <w:tc>
          <w:tcPr>
            <w:tcW w:w="720" w:type="dxa"/>
          </w:tcPr>
          <w:p w:rsidR="00B60C98" w:rsidRPr="001F656B" w:rsidRDefault="009960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C733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807C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9960A1" w:rsidP="00996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0104 Fundamentals of Auto Collision Repair/Refinishing</w:t>
            </w:r>
          </w:p>
        </w:tc>
        <w:tc>
          <w:tcPr>
            <w:tcW w:w="720" w:type="dxa"/>
          </w:tcPr>
          <w:p w:rsidR="00B60C98" w:rsidRPr="001F656B" w:rsidRDefault="009960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 w:rsidR="00812DB5">
              <w:rPr>
                <w:sz w:val="18"/>
                <w:szCs w:val="18"/>
              </w:rPr>
              <w:t>.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9960A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0105 Detailing and Polishing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9960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9960A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0106 Minor Collision Repair Theory</w:t>
            </w:r>
          </w:p>
        </w:tc>
        <w:tc>
          <w:tcPr>
            <w:tcW w:w="720" w:type="dxa"/>
          </w:tcPr>
          <w:p w:rsidR="00B60C98" w:rsidRPr="001F656B" w:rsidRDefault="009960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9960A1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0107 Minor Collision Repair Lab</w:t>
            </w:r>
          </w:p>
        </w:tc>
        <w:tc>
          <w:tcPr>
            <w:tcW w:w="720" w:type="dxa"/>
          </w:tcPr>
          <w:p w:rsidR="00B60C98" w:rsidRPr="001F656B" w:rsidRDefault="009960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="00812DB5" w:rsidRPr="00812DB5">
              <w:rPr>
                <w:b/>
                <w:sz w:val="16"/>
                <w:szCs w:val="16"/>
              </w:rPr>
              <w:t>(1 Course including a lab; 4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9960A1" w:rsidP="00996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0108 Fundamentals of Auto Collision Repair/Refinish Lab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9960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4E2E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 </w:t>
            </w:r>
            <w:r w:rsidR="00B36005">
              <w:rPr>
                <w:b/>
                <w:sz w:val="16"/>
                <w:szCs w:val="16"/>
              </w:rPr>
              <w:t>(1 course</w:t>
            </w:r>
            <w:r w:rsidR="004E2E3C">
              <w:rPr>
                <w:b/>
                <w:sz w:val="16"/>
                <w:szCs w:val="16"/>
              </w:rPr>
              <w:t>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9960A1" w:rsidP="006E09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</w:t>
            </w:r>
            <w:r w:rsidR="009C5A1C">
              <w:rPr>
                <w:sz w:val="18"/>
                <w:szCs w:val="18"/>
              </w:rPr>
              <w:t>210</w:t>
            </w:r>
            <w:r>
              <w:rPr>
                <w:sz w:val="18"/>
                <w:szCs w:val="18"/>
              </w:rPr>
              <w:t xml:space="preserve"> Advanced </w:t>
            </w:r>
            <w:r w:rsidR="009C5A1C">
              <w:rPr>
                <w:sz w:val="18"/>
                <w:szCs w:val="18"/>
              </w:rPr>
              <w:t>Collision Repair</w:t>
            </w:r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720" w:type="dxa"/>
          </w:tcPr>
          <w:p w:rsidR="00B60C98" w:rsidRPr="001F656B" w:rsidRDefault="009960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1C535C" w:rsidRPr="00B60C98" w:rsidTr="0083375A">
        <w:tc>
          <w:tcPr>
            <w:tcW w:w="4765" w:type="dxa"/>
            <w:shd w:val="clear" w:color="auto" w:fill="auto"/>
          </w:tcPr>
          <w:p w:rsidR="001C535C" w:rsidRPr="001F656B" w:rsidRDefault="009C5A1C" w:rsidP="006E09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0211</w:t>
            </w:r>
            <w:r w:rsidR="009960A1">
              <w:rPr>
                <w:sz w:val="18"/>
                <w:szCs w:val="18"/>
              </w:rPr>
              <w:t xml:space="preserve"> Advanced </w:t>
            </w:r>
            <w:r>
              <w:rPr>
                <w:sz w:val="18"/>
                <w:szCs w:val="18"/>
              </w:rPr>
              <w:t>Collision Repair</w:t>
            </w:r>
            <w:r w:rsidR="009960A1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720" w:type="dxa"/>
          </w:tcPr>
          <w:p w:rsidR="001C535C" w:rsidRPr="001F656B" w:rsidRDefault="009960A1" w:rsidP="005F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1C535C" w:rsidRPr="001C535C" w:rsidRDefault="001C535C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C535C" w:rsidRPr="00B60C98" w:rsidTr="004E2E3C">
        <w:tc>
          <w:tcPr>
            <w:tcW w:w="4765" w:type="dxa"/>
            <w:shd w:val="clear" w:color="auto" w:fill="auto"/>
          </w:tcPr>
          <w:p w:rsidR="001C535C" w:rsidRDefault="009C5A1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ACRR 0212</w:t>
            </w:r>
            <w:r w:rsidR="009960A1">
              <w:rPr>
                <w:sz w:val="18"/>
                <w:szCs w:val="18"/>
              </w:rPr>
              <w:t xml:space="preserve"> Advanced </w:t>
            </w:r>
            <w:r>
              <w:rPr>
                <w:sz w:val="18"/>
                <w:szCs w:val="18"/>
              </w:rPr>
              <w:t xml:space="preserve">Collision Repair </w:t>
            </w:r>
            <w:r w:rsidR="009960A1">
              <w:rPr>
                <w:sz w:val="18"/>
                <w:szCs w:val="18"/>
              </w:rPr>
              <w:t>III  OR</w:t>
            </w:r>
          </w:p>
          <w:p w:rsidR="009960A1" w:rsidRPr="001F656B" w:rsidRDefault="009960A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ACRR 0252 Internship</w:t>
            </w:r>
          </w:p>
        </w:tc>
        <w:tc>
          <w:tcPr>
            <w:tcW w:w="720" w:type="dxa"/>
          </w:tcPr>
          <w:p w:rsidR="001C535C" w:rsidRPr="001F656B" w:rsidRDefault="009960A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C535C" w:rsidRPr="00B60C98" w:rsidRDefault="001C535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C535C" w:rsidRPr="00B60C98" w:rsidRDefault="001C535C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 w:rsidR="00807CA5"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F17C3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6F7DC5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847CF8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6F7DC5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6F7DC5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847CF8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F4069D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AC4816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F4069D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CZ, 12/717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A6705"/>
    <w:rsid w:val="000B2A9C"/>
    <w:rsid w:val="000B6EFB"/>
    <w:rsid w:val="000C4C05"/>
    <w:rsid w:val="000C77E7"/>
    <w:rsid w:val="000D3B74"/>
    <w:rsid w:val="000D6D37"/>
    <w:rsid w:val="001020DB"/>
    <w:rsid w:val="0010774C"/>
    <w:rsid w:val="00121BC3"/>
    <w:rsid w:val="00122166"/>
    <w:rsid w:val="00140264"/>
    <w:rsid w:val="00170351"/>
    <w:rsid w:val="00194BA6"/>
    <w:rsid w:val="001B04E4"/>
    <w:rsid w:val="001B3715"/>
    <w:rsid w:val="001B3F81"/>
    <w:rsid w:val="001B6F46"/>
    <w:rsid w:val="001C1144"/>
    <w:rsid w:val="001C3064"/>
    <w:rsid w:val="001C535C"/>
    <w:rsid w:val="001D04D7"/>
    <w:rsid w:val="001D0DD4"/>
    <w:rsid w:val="001E1F22"/>
    <w:rsid w:val="001F656B"/>
    <w:rsid w:val="00221773"/>
    <w:rsid w:val="00243804"/>
    <w:rsid w:val="00267812"/>
    <w:rsid w:val="002752DE"/>
    <w:rsid w:val="00292C65"/>
    <w:rsid w:val="00294674"/>
    <w:rsid w:val="002A1B37"/>
    <w:rsid w:val="002A64DB"/>
    <w:rsid w:val="002B600D"/>
    <w:rsid w:val="002C6294"/>
    <w:rsid w:val="002D4F2A"/>
    <w:rsid w:val="002D5957"/>
    <w:rsid w:val="002E5A9E"/>
    <w:rsid w:val="003356C4"/>
    <w:rsid w:val="00343CCB"/>
    <w:rsid w:val="0037691A"/>
    <w:rsid w:val="00383443"/>
    <w:rsid w:val="00384E42"/>
    <w:rsid w:val="00386994"/>
    <w:rsid w:val="00390179"/>
    <w:rsid w:val="00395948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E2E3C"/>
    <w:rsid w:val="004F5ADE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240C"/>
    <w:rsid w:val="005B7EA2"/>
    <w:rsid w:val="005E4D62"/>
    <w:rsid w:val="00607E3D"/>
    <w:rsid w:val="006158FE"/>
    <w:rsid w:val="00615FEC"/>
    <w:rsid w:val="00621424"/>
    <w:rsid w:val="0063135C"/>
    <w:rsid w:val="00631499"/>
    <w:rsid w:val="0063369B"/>
    <w:rsid w:val="00634B35"/>
    <w:rsid w:val="00637C27"/>
    <w:rsid w:val="00663CDA"/>
    <w:rsid w:val="0066690D"/>
    <w:rsid w:val="006808E0"/>
    <w:rsid w:val="00693653"/>
    <w:rsid w:val="006A6AF8"/>
    <w:rsid w:val="006C0339"/>
    <w:rsid w:val="006D5CCA"/>
    <w:rsid w:val="006E098C"/>
    <w:rsid w:val="006E5CD1"/>
    <w:rsid w:val="006F7DC5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07CA5"/>
    <w:rsid w:val="00812DB5"/>
    <w:rsid w:val="00826C6E"/>
    <w:rsid w:val="0083375A"/>
    <w:rsid w:val="00841BBF"/>
    <w:rsid w:val="00847CF8"/>
    <w:rsid w:val="008560B4"/>
    <w:rsid w:val="008621B9"/>
    <w:rsid w:val="00864D96"/>
    <w:rsid w:val="008A09CA"/>
    <w:rsid w:val="008B1851"/>
    <w:rsid w:val="008F1E98"/>
    <w:rsid w:val="008F6048"/>
    <w:rsid w:val="00936658"/>
    <w:rsid w:val="00943870"/>
    <w:rsid w:val="00944648"/>
    <w:rsid w:val="00955D91"/>
    <w:rsid w:val="00967369"/>
    <w:rsid w:val="00975015"/>
    <w:rsid w:val="0098617C"/>
    <w:rsid w:val="009960A1"/>
    <w:rsid w:val="009B42A4"/>
    <w:rsid w:val="009C5A1C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7151"/>
    <w:rsid w:val="00AC15BC"/>
    <w:rsid w:val="00AC4816"/>
    <w:rsid w:val="00AC5A04"/>
    <w:rsid w:val="00AE52DC"/>
    <w:rsid w:val="00B1342D"/>
    <w:rsid w:val="00B36005"/>
    <w:rsid w:val="00B60C98"/>
    <w:rsid w:val="00B61C40"/>
    <w:rsid w:val="00B67A57"/>
    <w:rsid w:val="00B94B61"/>
    <w:rsid w:val="00B95548"/>
    <w:rsid w:val="00B96C2E"/>
    <w:rsid w:val="00BA1F3D"/>
    <w:rsid w:val="00BA2629"/>
    <w:rsid w:val="00BA7BDE"/>
    <w:rsid w:val="00BB570D"/>
    <w:rsid w:val="00BB7709"/>
    <w:rsid w:val="00BC0FEE"/>
    <w:rsid w:val="00BD787A"/>
    <w:rsid w:val="00BE2E26"/>
    <w:rsid w:val="00BE4066"/>
    <w:rsid w:val="00BF6768"/>
    <w:rsid w:val="00C04A5A"/>
    <w:rsid w:val="00C17DB2"/>
    <w:rsid w:val="00C20451"/>
    <w:rsid w:val="00C268BE"/>
    <w:rsid w:val="00C35E9C"/>
    <w:rsid w:val="00C47DAC"/>
    <w:rsid w:val="00C53770"/>
    <w:rsid w:val="00C5605B"/>
    <w:rsid w:val="00C733E4"/>
    <w:rsid w:val="00C76244"/>
    <w:rsid w:val="00C7700A"/>
    <w:rsid w:val="00C879BC"/>
    <w:rsid w:val="00CA528E"/>
    <w:rsid w:val="00CB3E5C"/>
    <w:rsid w:val="00CC7589"/>
    <w:rsid w:val="00CD01B3"/>
    <w:rsid w:val="00CD0B7C"/>
    <w:rsid w:val="00CF321F"/>
    <w:rsid w:val="00CF66F8"/>
    <w:rsid w:val="00CF6B23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7217D"/>
    <w:rsid w:val="00D8570C"/>
    <w:rsid w:val="00D86D33"/>
    <w:rsid w:val="00D914C1"/>
    <w:rsid w:val="00DA1BEE"/>
    <w:rsid w:val="00DB202D"/>
    <w:rsid w:val="00DC4E37"/>
    <w:rsid w:val="00DD67D4"/>
    <w:rsid w:val="00DF097F"/>
    <w:rsid w:val="00E6320C"/>
    <w:rsid w:val="00E67D37"/>
    <w:rsid w:val="00E71323"/>
    <w:rsid w:val="00E725D8"/>
    <w:rsid w:val="00E80337"/>
    <w:rsid w:val="00E82317"/>
    <w:rsid w:val="00EB646B"/>
    <w:rsid w:val="00F02567"/>
    <w:rsid w:val="00F4069D"/>
    <w:rsid w:val="00F5131F"/>
    <w:rsid w:val="00F74EE3"/>
    <w:rsid w:val="00F84E02"/>
    <w:rsid w:val="00F859C0"/>
    <w:rsid w:val="00FA2AC6"/>
    <w:rsid w:val="00FB2E30"/>
    <w:rsid w:val="00FC0287"/>
    <w:rsid w:val="00FD4C7A"/>
    <w:rsid w:val="00FD7506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B3BE6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15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10</cp:revision>
  <cp:lastPrinted>2018-02-12T17:18:00Z</cp:lastPrinted>
  <dcterms:created xsi:type="dcterms:W3CDTF">2018-05-03T17:56:00Z</dcterms:created>
  <dcterms:modified xsi:type="dcterms:W3CDTF">2018-05-03T18:15:00Z</dcterms:modified>
</cp:coreProperties>
</file>