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3964305</wp:posOffset>
                </wp:positionH>
                <wp:positionV relativeFrom="paragraph">
                  <wp:posOffset>-183515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D631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5D631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Theatre, Film and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15pt;margin-top:-14.4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A1RCNF4AAAAAwBAAAPAAAAAAAAAAAAAAAAAHoEAABkcnMvZG93bnJl&#10;di54bWxQSwUGAAAAAAQABADzAAAAhwUAAAAA&#10;" stroked="f">
                <v:textbox>
                  <w:txbxContent>
                    <w:p w:rsidR="00C04A5A" w:rsidRPr="00AC15BC" w:rsidRDefault="005D631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5D631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Theatre, Film and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630"/>
        <w:gridCol w:w="2610"/>
        <w:gridCol w:w="2183"/>
      </w:tblGrid>
      <w:tr w:rsidR="00BD787A" w:rsidTr="005D6313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EC571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>GE,</w:t>
            </w:r>
          </w:p>
          <w:p w:rsidR="008B1851" w:rsidRDefault="002E5A9E" w:rsidP="00EC571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84315" w:rsidTr="005D6313">
        <w:tc>
          <w:tcPr>
            <w:tcW w:w="4068" w:type="dxa"/>
          </w:tcPr>
          <w:p w:rsidR="00A84315" w:rsidRPr="00E67D37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83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</w:tcPr>
          <w:p w:rsidR="00A84315" w:rsidRPr="00E67D37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 1111: Stagecraft </w:t>
            </w:r>
          </w:p>
        </w:tc>
        <w:tc>
          <w:tcPr>
            <w:tcW w:w="427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84315" w:rsidRPr="00DF234F" w:rsidRDefault="00A84315" w:rsidP="00A84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</w:tcPr>
          <w:p w:rsidR="00A84315" w:rsidRPr="00E67D37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2214: Makeup (or 3312/3cr)</w:t>
            </w:r>
          </w:p>
        </w:tc>
        <w:tc>
          <w:tcPr>
            <w:tcW w:w="427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84315" w:rsidRPr="00DF234F" w:rsidRDefault="00A84315" w:rsidP="00A84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</w:tcPr>
          <w:p w:rsidR="00A84315" w:rsidRPr="00E67D37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THEA 2251: Fundamentals of Acting</w:t>
            </w:r>
          </w:p>
        </w:tc>
        <w:tc>
          <w:tcPr>
            <w:tcW w:w="427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315" w:rsidRPr="00DF234F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</w:tcPr>
          <w:p w:rsidR="00A84315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27" w:type="dxa"/>
            <w:vAlign w:val="center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315" w:rsidRPr="00DF234F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</w:tcPr>
          <w:p w:rsidR="00A84315" w:rsidRDefault="00A84315" w:rsidP="00A84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27" w:type="dxa"/>
            <w:vAlign w:val="center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84315" w:rsidRPr="00DF234F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4315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5D6313">
        <w:tc>
          <w:tcPr>
            <w:tcW w:w="4068" w:type="dxa"/>
            <w:shd w:val="clear" w:color="auto" w:fill="F2F2F2" w:themeFill="background1" w:themeFillShade="F2"/>
          </w:tcPr>
          <w:p w:rsidR="00A84315" w:rsidRDefault="00A84315" w:rsidP="00A8431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84315" w:rsidRDefault="00EC5717" w:rsidP="00A84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84315" w:rsidRPr="00E67D37" w:rsidRDefault="00A84315" w:rsidP="00A84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</w:p>
        </w:tc>
      </w:tr>
      <w:tr w:rsidR="00A8431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84315" w:rsidRPr="00E67D37" w:rsidRDefault="00A84315" w:rsidP="00A84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5717" w:rsidTr="005D6313"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BD2184" w:rsidRDefault="00EC5717" w:rsidP="00EC5717">
            <w:pPr>
              <w:pStyle w:val="NoSpacing"/>
              <w:rPr>
                <w:sz w:val="16"/>
                <w:szCs w:val="16"/>
              </w:rPr>
            </w:pPr>
            <w:r w:rsidRPr="00BD2184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83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1110:  Introductory Convergent Newswriting &amp; Reporting</w:t>
            </w:r>
          </w:p>
        </w:tc>
        <w:tc>
          <w:tcPr>
            <w:tcW w:w="427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717" w:rsidRPr="00DF234F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</w:t>
            </w:r>
          </w:p>
        </w:tc>
        <w:tc>
          <w:tcPr>
            <w:tcW w:w="2183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2202: Photo, Graphic, and Video Editing</w:t>
            </w:r>
          </w:p>
        </w:tc>
        <w:tc>
          <w:tcPr>
            <w:tcW w:w="427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2252: Intermediate Acting: Scene Study</w:t>
            </w:r>
          </w:p>
        </w:tc>
        <w:tc>
          <w:tcPr>
            <w:tcW w:w="427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2251</w:t>
            </w:r>
          </w:p>
        </w:tc>
        <w:tc>
          <w:tcPr>
            <w:tcW w:w="2183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27" w:type="dxa"/>
            <w:vAlign w:val="center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  <w:shd w:val="clear" w:color="auto" w:fill="F2F2F2" w:themeFill="background1" w:themeFillShade="F2"/>
          </w:tcPr>
          <w:p w:rsidR="00EC5717" w:rsidRDefault="00EC5717" w:rsidP="00EC57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C5717" w:rsidRPr="00E67D3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EC571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C5717" w:rsidRPr="00E67D37" w:rsidRDefault="00EC5717" w:rsidP="00EC57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5717" w:rsidTr="005D6313"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 Electives </w:t>
            </w:r>
          </w:p>
        </w:tc>
        <w:tc>
          <w:tcPr>
            <w:tcW w:w="427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 3311: Introduction to Scene Design (Fall) OR </w:t>
            </w:r>
          </w:p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 4403: Stage Costume Design (Spring) </w:t>
            </w:r>
          </w:p>
        </w:tc>
        <w:tc>
          <w:tcPr>
            <w:tcW w:w="427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2211 (for THEA 3311)</w:t>
            </w:r>
          </w:p>
        </w:tc>
        <w:tc>
          <w:tcPr>
            <w:tcW w:w="2183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rPr>
          <w:trHeight w:val="110"/>
        </w:trPr>
        <w:tc>
          <w:tcPr>
            <w:tcW w:w="4068" w:type="dxa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Theatre History Course </w:t>
            </w:r>
          </w:p>
        </w:tc>
        <w:tc>
          <w:tcPr>
            <w:tcW w:w="427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5717" w:rsidRPr="00DF234F" w:rsidRDefault="00EC5717" w:rsidP="00EC5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</w:t>
            </w:r>
            <w:r w:rsidR="00007ACB">
              <w:rPr>
                <w:sz w:val="16"/>
                <w:szCs w:val="16"/>
              </w:rPr>
              <w:t>: COMM 1101 Principles of Speech</w:t>
            </w:r>
          </w:p>
        </w:tc>
        <w:tc>
          <w:tcPr>
            <w:tcW w:w="427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717" w:rsidRPr="00DF234F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</w:tcPr>
          <w:p w:rsidR="00EC5717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717" w:rsidRPr="00DF234F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5D6313">
        <w:tc>
          <w:tcPr>
            <w:tcW w:w="4068" w:type="dxa"/>
            <w:shd w:val="clear" w:color="auto" w:fill="F2F2F2" w:themeFill="background1" w:themeFillShade="F2"/>
          </w:tcPr>
          <w:p w:rsidR="00EC5717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C5717" w:rsidRPr="00194BA6" w:rsidRDefault="00EC5717" w:rsidP="00EC5717">
            <w:pPr>
              <w:pStyle w:val="NoSpacing"/>
              <w:rPr>
                <w:sz w:val="16"/>
                <w:szCs w:val="16"/>
              </w:rPr>
            </w:pPr>
          </w:p>
        </w:tc>
      </w:tr>
      <w:tr w:rsidR="00EC571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C5717" w:rsidRPr="00194BA6" w:rsidRDefault="00EC5717" w:rsidP="00EC5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47FC8" w:rsidTr="005D6313">
        <w:tc>
          <w:tcPr>
            <w:tcW w:w="4068" w:type="dxa"/>
          </w:tcPr>
          <w:p w:rsidR="00D47FC8" w:rsidRPr="00292C65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2271: Introduction to Television Production</w:t>
            </w:r>
          </w:p>
        </w:tc>
        <w:tc>
          <w:tcPr>
            <w:tcW w:w="427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D47FC8" w:rsidRPr="00292C65" w:rsidRDefault="00D47FC8" w:rsidP="00D47F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1110, CMP 2202</w:t>
            </w:r>
          </w:p>
        </w:tc>
        <w:tc>
          <w:tcPr>
            <w:tcW w:w="2183" w:type="dxa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292C65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 Upper Division</w:t>
            </w:r>
          </w:p>
        </w:tc>
        <w:tc>
          <w:tcPr>
            <w:tcW w:w="427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292C65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292C65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2286: Visual Rhetoric</w:t>
            </w:r>
          </w:p>
        </w:tc>
        <w:tc>
          <w:tcPr>
            <w:tcW w:w="427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D47FC8" w:rsidRPr="00292C65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27" w:type="dxa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292C65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2F2F2" w:themeFill="background1" w:themeFillShade="F2"/>
          </w:tcPr>
          <w:p w:rsidR="00D47FC8" w:rsidRPr="00292C65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47FC8" w:rsidRPr="00292C65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D47FC8" w:rsidRPr="00D42DE8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47FC8" w:rsidRPr="00292C65" w:rsidRDefault="00D47FC8" w:rsidP="00D47F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47FC8" w:rsidTr="005D6313">
        <w:tc>
          <w:tcPr>
            <w:tcW w:w="4068" w:type="dxa"/>
            <w:shd w:val="clear" w:color="auto" w:fill="FFFFFF" w:themeFill="background1"/>
            <w:vAlign w:val="bottom"/>
          </w:tcPr>
          <w:p w:rsidR="00D47FC8" w:rsidRPr="00BA2629" w:rsidRDefault="00D47FC8" w:rsidP="00D47F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THEA 4455: Beginning Stage Direction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DF234F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1111, THEA 2251, THEA 2252</w:t>
            </w:r>
          </w:p>
        </w:tc>
        <w:tc>
          <w:tcPr>
            <w:tcW w:w="2183" w:type="dxa"/>
            <w:shd w:val="clear" w:color="auto" w:fill="FFFFFF" w:themeFill="background1"/>
          </w:tcPr>
          <w:p w:rsidR="00D47FC8" w:rsidRPr="00194BA6" w:rsidRDefault="00D47FC8" w:rsidP="00D47FC8">
            <w:pPr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FFFFF" w:themeFill="background1"/>
            <w:vAlign w:val="bottom"/>
          </w:tcPr>
          <w:p w:rsidR="00D47FC8" w:rsidRPr="00BA2629" w:rsidRDefault="00D47FC8" w:rsidP="00D47FC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3371: Video Editing Compositing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DF234F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  <w:vAlign w:val="bottom"/>
          </w:tcPr>
          <w:p w:rsidR="00D47FC8" w:rsidRPr="00BA2629" w:rsidRDefault="00D47FC8" w:rsidP="00D47F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Major Electives Upper Division</w:t>
            </w:r>
          </w:p>
        </w:tc>
        <w:tc>
          <w:tcPr>
            <w:tcW w:w="427" w:type="dxa"/>
            <w:vAlign w:val="center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  <w:vAlign w:val="bottom"/>
          </w:tcPr>
          <w:p w:rsidR="00D47FC8" w:rsidRPr="00BA2629" w:rsidRDefault="00D47FC8" w:rsidP="00D47F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4475: Corporate Video Production</w:t>
            </w:r>
          </w:p>
        </w:tc>
        <w:tc>
          <w:tcPr>
            <w:tcW w:w="427" w:type="dxa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2202, CMP 2271</w:t>
            </w: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vAlign w:val="bottom"/>
          </w:tcPr>
          <w:p w:rsidR="00D47FC8" w:rsidRDefault="00D47FC8" w:rsidP="00D47F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2F2F2" w:themeFill="background1" w:themeFillShade="F2"/>
          </w:tcPr>
          <w:p w:rsidR="00D47FC8" w:rsidRPr="00BA2629" w:rsidRDefault="00D47FC8" w:rsidP="00D47F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47FC8" w:rsidTr="005D6313">
        <w:tc>
          <w:tcPr>
            <w:tcW w:w="4068" w:type="dxa"/>
          </w:tcPr>
          <w:p w:rsidR="00D47FC8" w:rsidRPr="00BA2629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BA2629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 Upper Division</w:t>
            </w:r>
          </w:p>
        </w:tc>
        <w:tc>
          <w:tcPr>
            <w:tcW w:w="427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47FC8" w:rsidRPr="00DF234F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2F2F2" w:themeFill="background1" w:themeFillShade="F2"/>
          </w:tcPr>
          <w:p w:rsidR="00D47FC8" w:rsidRPr="00BA2629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47FC8" w:rsidTr="005D6313">
        <w:tc>
          <w:tcPr>
            <w:tcW w:w="4068" w:type="dxa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 Electives Upper Division  </w:t>
            </w:r>
          </w:p>
        </w:tc>
        <w:tc>
          <w:tcPr>
            <w:tcW w:w="427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47FC8" w:rsidRPr="00BA2629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27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Major Electives </w:t>
            </w:r>
          </w:p>
        </w:tc>
        <w:tc>
          <w:tcPr>
            <w:tcW w:w="427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E67D37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2F2F2" w:themeFill="background1" w:themeFillShade="F2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47FC8" w:rsidRPr="00C04A5A" w:rsidRDefault="00D47FC8" w:rsidP="00D47FC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47FC8" w:rsidTr="005D6313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FFFFF" w:themeFill="background1"/>
          </w:tcPr>
          <w:p w:rsidR="00D47FC8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D47FC8" w:rsidRPr="00B67A57" w:rsidRDefault="00D47FC8" w:rsidP="00D47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D47FC8" w:rsidRPr="00473C19" w:rsidRDefault="00D47FC8" w:rsidP="00D47FC8">
            <w:pPr>
              <w:rPr>
                <w:sz w:val="14"/>
                <w:szCs w:val="14"/>
              </w:rPr>
            </w:pPr>
          </w:p>
        </w:tc>
      </w:tr>
      <w:tr w:rsidR="00D47FC8" w:rsidTr="005D6313">
        <w:tc>
          <w:tcPr>
            <w:tcW w:w="4068" w:type="dxa"/>
          </w:tcPr>
          <w:p w:rsidR="00D47FC8" w:rsidRDefault="00D47FC8" w:rsidP="00D47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27" w:type="dxa"/>
          </w:tcPr>
          <w:p w:rsidR="00D47FC8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7FC8" w:rsidRPr="00C04A5A" w:rsidRDefault="00D47FC8" w:rsidP="00D47F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D47FC8" w:rsidRPr="00E71323" w:rsidRDefault="00D47FC8" w:rsidP="00D47FC8">
            <w:pPr>
              <w:pStyle w:val="NoSpacing"/>
              <w:rPr>
                <w:sz w:val="12"/>
                <w:szCs w:val="12"/>
              </w:rPr>
            </w:pPr>
          </w:p>
        </w:tc>
      </w:tr>
      <w:tr w:rsidR="00D47FC8" w:rsidTr="005D6313">
        <w:tc>
          <w:tcPr>
            <w:tcW w:w="4068" w:type="dxa"/>
            <w:shd w:val="clear" w:color="auto" w:fill="F2F2F2" w:themeFill="background1" w:themeFillShade="F2"/>
          </w:tcPr>
          <w:p w:rsidR="00D47FC8" w:rsidRPr="00B67A57" w:rsidRDefault="00D47FC8" w:rsidP="00D47FC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47FC8" w:rsidRPr="00E67D37" w:rsidRDefault="00D47FC8" w:rsidP="00D47F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</w:p>
        </w:tc>
      </w:tr>
      <w:tr w:rsidR="00D47FC8" w:rsidTr="00CF321F">
        <w:tc>
          <w:tcPr>
            <w:tcW w:w="11178" w:type="dxa"/>
            <w:gridSpan w:val="7"/>
          </w:tcPr>
          <w:p w:rsidR="00D47FC8" w:rsidRPr="00943870" w:rsidRDefault="00D47FC8" w:rsidP="00D47FC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47FC8" w:rsidRDefault="00D47FC8" w:rsidP="00D47FC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47FC8" w:rsidRPr="00C04A5A" w:rsidRDefault="00D47FC8" w:rsidP="00D47FC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9"/>
        <w:gridCol w:w="351"/>
        <w:gridCol w:w="23"/>
        <w:gridCol w:w="697"/>
      </w:tblGrid>
      <w:tr w:rsidR="00B60C98" w:rsidRPr="00B60C98" w:rsidTr="00A43C75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4F47D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A43C75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7D687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 or 72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3356C4" w:rsidRDefault="007D687E" w:rsidP="007D68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Theatre Courses</w:t>
            </w:r>
          </w:p>
        </w:tc>
        <w:tc>
          <w:tcPr>
            <w:tcW w:w="914" w:type="dxa"/>
            <w:shd w:val="clear" w:color="auto" w:fill="auto"/>
          </w:tcPr>
          <w:p w:rsidR="007D687E" w:rsidRPr="00864D96" w:rsidRDefault="007D687E" w:rsidP="007D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17or18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THEA 1111: Stagecraft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687E" w:rsidRPr="00B60C98" w:rsidTr="00A43C75">
        <w:trPr>
          <w:trHeight w:val="248"/>
        </w:trPr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 xml:space="preserve">THEA 2214: Makeup </w:t>
            </w:r>
            <w:r>
              <w:rPr>
                <w:sz w:val="16"/>
                <w:szCs w:val="16"/>
              </w:rPr>
              <w:t xml:space="preserve"> </w:t>
            </w:r>
            <w:r w:rsidRPr="00F51017">
              <w:rPr>
                <w:sz w:val="16"/>
                <w:szCs w:val="16"/>
              </w:rPr>
              <w:t>or THEA 3312: Stage Lighting Design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rPr>
          <w:trHeight w:val="248"/>
        </w:trPr>
        <w:tc>
          <w:tcPr>
            <w:tcW w:w="4585" w:type="dxa"/>
            <w:shd w:val="clear" w:color="auto" w:fill="auto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  <w:r w:rsidRPr="00F51017">
              <w:rPr>
                <w:sz w:val="16"/>
                <w:szCs w:val="16"/>
              </w:rPr>
              <w:t>THEA 2251: Fundamentals of Acting</w:t>
            </w:r>
            <w:r>
              <w:rPr>
                <w:sz w:val="16"/>
                <w:szCs w:val="16"/>
              </w:rPr>
              <w:t xml:space="preserve">                                        (counted on GE Objective 7) </w:t>
            </w:r>
          </w:p>
        </w:tc>
        <w:tc>
          <w:tcPr>
            <w:tcW w:w="914" w:type="dxa"/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D687E" w:rsidRPr="00B60C98" w:rsidTr="00A43C75">
        <w:trPr>
          <w:trHeight w:val="248"/>
        </w:trPr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THEA 2252: Intermediate Acting: Scene Study</w:t>
            </w:r>
          </w:p>
        </w:tc>
        <w:tc>
          <w:tcPr>
            <w:tcW w:w="914" w:type="dxa"/>
            <w:shd w:val="clear" w:color="auto" w:fill="auto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D687E" w:rsidRPr="00B60C98" w:rsidTr="00A43C75">
        <w:trPr>
          <w:trHeight w:val="247"/>
        </w:trPr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THEA 3311: Intro to Scene Design or THEA 4403: Stage Costume Design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THEA 4455: Beginning Stage Direction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 xml:space="preserve">Choose one </w:t>
            </w:r>
            <w:r>
              <w:rPr>
                <w:sz w:val="16"/>
                <w:szCs w:val="16"/>
              </w:rPr>
              <w:t>Theatre H</w:t>
            </w:r>
            <w:r w:rsidRPr="00F51017">
              <w:rPr>
                <w:sz w:val="16"/>
                <w:szCs w:val="16"/>
              </w:rPr>
              <w:t>istory course from the following: THEA 4400, THEA 4401, THEA 4419, THEA 4420, THEA 4470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rPr>
          <w:trHeight w:val="248"/>
        </w:trPr>
        <w:tc>
          <w:tcPr>
            <w:tcW w:w="4585" w:type="dxa"/>
            <w:shd w:val="clear" w:color="auto" w:fill="auto"/>
          </w:tcPr>
          <w:p w:rsidR="007D687E" w:rsidRPr="008560B4" w:rsidRDefault="007D687E" w:rsidP="007D68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Communication, Media, &amp; Persuasion Courses</w:t>
            </w:r>
          </w:p>
        </w:tc>
        <w:tc>
          <w:tcPr>
            <w:tcW w:w="914" w:type="dxa"/>
            <w:shd w:val="clear" w:color="auto" w:fill="auto"/>
          </w:tcPr>
          <w:p w:rsidR="007D687E" w:rsidRPr="004122EE" w:rsidRDefault="007D687E" w:rsidP="007D687E">
            <w:pPr>
              <w:jc w:val="center"/>
              <w:rPr>
                <w:b/>
                <w:sz w:val="20"/>
                <w:szCs w:val="20"/>
              </w:rPr>
            </w:pPr>
            <w:r w:rsidRPr="004122E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1110: Introductory Convergent Newswriting and Reporting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2202: Photo, Graphic, and Video Editing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D687E" w:rsidRPr="00B60C98" w:rsidTr="00A43C75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2271: Television and Video Production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2286: Visual Rhetoric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3371: Narrative Video Production</w:t>
            </w:r>
          </w:p>
        </w:tc>
        <w:tc>
          <w:tcPr>
            <w:tcW w:w="914" w:type="dxa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D687E" w:rsidRPr="00B60C98" w:rsidTr="00A43C75">
        <w:tc>
          <w:tcPr>
            <w:tcW w:w="4585" w:type="dxa"/>
            <w:shd w:val="clear" w:color="auto" w:fill="auto"/>
          </w:tcPr>
          <w:p w:rsidR="007D687E" w:rsidRPr="00F51017" w:rsidRDefault="007D687E" w:rsidP="007D687E">
            <w:pPr>
              <w:rPr>
                <w:sz w:val="16"/>
                <w:szCs w:val="16"/>
              </w:rPr>
            </w:pPr>
            <w:r w:rsidRPr="00F51017">
              <w:rPr>
                <w:sz w:val="16"/>
                <w:szCs w:val="16"/>
              </w:rPr>
              <w:t>CMP 4475: Corporate Video Production</w:t>
            </w:r>
          </w:p>
        </w:tc>
        <w:tc>
          <w:tcPr>
            <w:tcW w:w="914" w:type="dxa"/>
            <w:shd w:val="clear" w:color="auto" w:fill="auto"/>
          </w:tcPr>
          <w:p w:rsidR="007D687E" w:rsidRPr="008560B4" w:rsidRDefault="007D687E" w:rsidP="007D6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THEA 2251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D687E" w:rsidRPr="00B60C98" w:rsidTr="00A43C75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7D687E" w:rsidRPr="003356C4" w:rsidRDefault="007D687E" w:rsidP="007D687E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Major Electives: Choose 36 credits from the following: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7D687E" w:rsidRPr="00F51017" w:rsidRDefault="007D687E" w:rsidP="007D687E">
            <w:pPr>
              <w:jc w:val="center"/>
              <w:rPr>
                <w:b/>
                <w:sz w:val="20"/>
                <w:szCs w:val="20"/>
              </w:rPr>
            </w:pPr>
            <w:r w:rsidRPr="00F510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7D6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ANTH 4494: Visual Anthropology</w:t>
            </w:r>
          </w:p>
        </w:tc>
        <w:tc>
          <w:tcPr>
            <w:tcW w:w="914" w:type="dxa"/>
            <w:tcBorders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ART 1103: Creative Process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6F05BF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INFO</w:t>
            </w:r>
            <w:r w:rsidR="00A43C75">
              <w:rPr>
                <w:sz w:val="16"/>
                <w:szCs w:val="16"/>
              </w:rPr>
              <w:t xml:space="preserve"> 1101: Digital Information Literacy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CMLT 2220: Introduction to International Film Studies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D687E" w:rsidRPr="00B60C98" w:rsidRDefault="007D687E" w:rsidP="007D687E">
            <w:pPr>
              <w:jc w:val="right"/>
              <w:rPr>
                <w:sz w:val="18"/>
                <w:szCs w:val="18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CMLT 3335: World Film Studies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D687E" w:rsidRPr="002C6294" w:rsidRDefault="007D687E" w:rsidP="007D687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D687E" w:rsidRPr="002C6294" w:rsidRDefault="00A747B4" w:rsidP="00A74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CMLT 4435: Topics in World Film Studies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ENGL 1126: Art of the Film 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ENGL 3305: Art of the Film II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 2231: Introduction to Graphic Design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CMP2251: Introduction to Photography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 3337: Illustration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D687E" w:rsidRPr="00B60C98" w:rsidRDefault="007D687E" w:rsidP="007D687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 3352: Photo Communication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87E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 4410: Mass Media History, Law, and Ethics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87E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CMP 4471: Advanced Video Production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7D687E" w:rsidRPr="00B60C98" w:rsidRDefault="007D687E" w:rsidP="007D687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687E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1131: Voice and Diction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7D687E" w:rsidRPr="00B60C98" w:rsidRDefault="007D687E" w:rsidP="007D687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D687E" w:rsidRPr="00B60C98" w:rsidRDefault="00A747B4" w:rsidP="007D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1191 or THEA 3391: Theatre Production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7D687E" w:rsidRPr="00B60C98" w:rsidRDefault="007D687E" w:rsidP="007D687E">
            <w:pPr>
              <w:jc w:val="center"/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2218: Stage Dialects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D687E" w:rsidRPr="00B60C98" w:rsidRDefault="007D687E" w:rsidP="007D687E">
            <w:pPr>
              <w:jc w:val="center"/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3390 or THEA 4490: Practicum Theatre Arts I or II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D687E" w:rsidRPr="00B60C98" w:rsidRDefault="007D687E" w:rsidP="007D687E">
            <w:pPr>
              <w:jc w:val="center"/>
              <w:rPr>
                <w:sz w:val="20"/>
                <w:szCs w:val="20"/>
              </w:rPr>
            </w:pP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</w:t>
            </w:r>
            <w:r w:rsidR="006F05BF">
              <w:rPr>
                <w:sz w:val="16"/>
                <w:szCs w:val="16"/>
              </w:rPr>
              <w:t xml:space="preserve"> 4404: Special Topics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in Acting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7D687E" w:rsidRPr="00B60C98" w:rsidRDefault="007D687E" w:rsidP="007D687E">
            <w:pPr>
              <w:jc w:val="center"/>
              <w:rPr>
                <w:sz w:val="20"/>
                <w:szCs w:val="20"/>
              </w:rPr>
            </w:pPr>
          </w:p>
        </w:tc>
      </w:tr>
      <w:tr w:rsidR="007D687E" w:rsidRPr="00B60C98" w:rsidTr="00A43C75">
        <w:trPr>
          <w:trHeight w:val="257"/>
        </w:trPr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4405: Advanced Costume Construction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D687E" w:rsidRPr="00B60C98" w:rsidRDefault="007D687E" w:rsidP="007D687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D687E" w:rsidRPr="00B60C98" w:rsidTr="00A43C75"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87E" w:rsidRPr="00A43C75" w:rsidRDefault="00A43C75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4424: Advanced Acting Styles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87E" w:rsidRPr="001F656B" w:rsidRDefault="007D687E" w:rsidP="007D6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D687E" w:rsidRPr="00B60C98" w:rsidRDefault="007D687E" w:rsidP="007D687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D687E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47B4" w:rsidRPr="00B60C98" w:rsidTr="00F8776B">
        <w:trPr>
          <w:trHeight w:val="248"/>
        </w:trPr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47B4" w:rsidRPr="00A43C75" w:rsidRDefault="00A747B4" w:rsidP="00A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THEA 4426: Advanced Scene Design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B4" w:rsidRPr="001F656B" w:rsidRDefault="00A747B4" w:rsidP="00A43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47B4" w:rsidRPr="00B60C98" w:rsidRDefault="00A747B4" w:rsidP="00A43C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47B4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47B4" w:rsidRPr="00B60C98" w:rsidTr="00FD01AF">
        <w:trPr>
          <w:trHeight w:val="247"/>
        </w:trPr>
        <w:tc>
          <w:tcPr>
            <w:tcW w:w="45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47B4" w:rsidRPr="001F656B" w:rsidRDefault="00A747B4" w:rsidP="00A43C75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  <w:t>THEA 4456: Advanced Stage Direction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B4" w:rsidRPr="001F656B" w:rsidRDefault="00A747B4" w:rsidP="00A43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47B4" w:rsidRPr="00B60C98" w:rsidRDefault="00A747B4" w:rsidP="00A43C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47B4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47B4" w:rsidRPr="00B60C98" w:rsidTr="00B4146E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4" w:rsidRPr="001F656B" w:rsidRDefault="00A747B4" w:rsidP="00A43C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4" w:rsidRPr="001F656B" w:rsidRDefault="00A747B4" w:rsidP="00A43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47B4" w:rsidRPr="00B60C98" w:rsidRDefault="00A747B4" w:rsidP="00A43C7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47B4" w:rsidRPr="00B60C98" w:rsidRDefault="00A747B4" w:rsidP="00A7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3C75" w:rsidRPr="00B60C98" w:rsidTr="00A43C75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75" w:rsidRPr="001F656B" w:rsidRDefault="00A43C75" w:rsidP="00A43C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75" w:rsidRPr="001F656B" w:rsidRDefault="00A43C75" w:rsidP="00A43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43C75" w:rsidRPr="00B60C98" w:rsidRDefault="00A43C75" w:rsidP="00A43C7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43C75" w:rsidRPr="00B60C98" w:rsidRDefault="00A43C75" w:rsidP="00A43C75">
            <w:pPr>
              <w:rPr>
                <w:sz w:val="20"/>
                <w:szCs w:val="20"/>
              </w:rPr>
            </w:pPr>
          </w:p>
        </w:tc>
      </w:tr>
      <w:tr w:rsidR="00A43C75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3C75" w:rsidRPr="00B60C98" w:rsidRDefault="00A43C75" w:rsidP="00A43C7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43C75" w:rsidRPr="00B60C98" w:rsidRDefault="00A43C75" w:rsidP="00A43C7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7B4" w:rsidRPr="00B60C98" w:rsidRDefault="00A747B4" w:rsidP="00A747B4">
            <w:pPr>
              <w:rPr>
                <w:b/>
              </w:rPr>
            </w:pPr>
            <w:r>
              <w:rPr>
                <w:sz w:val="20"/>
                <w:szCs w:val="20"/>
              </w:rPr>
              <w:t>It is imperative that students see an advisor in the department!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47B4" w:rsidRPr="00B60C98" w:rsidRDefault="00A747B4" w:rsidP="00A747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47B4" w:rsidRPr="00B60C98" w:rsidRDefault="00A747B4" w:rsidP="00A747B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47B4" w:rsidRPr="00B60C98" w:rsidRDefault="00A747B4" w:rsidP="00A747B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47B4" w:rsidRPr="00B60C98" w:rsidRDefault="00A747B4" w:rsidP="00A747B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747B4" w:rsidRPr="00B60C98" w:rsidRDefault="00EA46A7" w:rsidP="00A7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5/30/2018 bb</w:t>
            </w: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A747B4" w:rsidRPr="00B60C98" w:rsidRDefault="00A747B4" w:rsidP="00A747B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  <w:tr w:rsidR="00A747B4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47B4" w:rsidRPr="001F656B" w:rsidRDefault="00A747B4" w:rsidP="00A747B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A747B4" w:rsidRPr="00B60C98" w:rsidRDefault="00A747B4" w:rsidP="00A747B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226E3A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7ACB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26E3A"/>
    <w:rsid w:val="00243804"/>
    <w:rsid w:val="00253598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47DD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D6313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6F05BF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687E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43C75"/>
    <w:rsid w:val="00A513C9"/>
    <w:rsid w:val="00A747B4"/>
    <w:rsid w:val="00A84315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47FC8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A46A7"/>
    <w:rsid w:val="00EC571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3BD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6</cp:revision>
  <cp:lastPrinted>2018-05-30T16:18:00Z</cp:lastPrinted>
  <dcterms:created xsi:type="dcterms:W3CDTF">2018-05-30T16:58:00Z</dcterms:created>
  <dcterms:modified xsi:type="dcterms:W3CDTF">2018-06-05T16:03:00Z</dcterms:modified>
</cp:coreProperties>
</file>