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975F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2626B4">
                                    <w:rPr>
                                      <w:b/>
                                      <w:sz w:val="24"/>
                                    </w:rPr>
                                    <w:t>2-2023</w:t>
                                  </w:r>
                                </w:p>
                                <w:p w:rsidR="00E14260" w:rsidRDefault="00C975F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Mathematics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80D5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80D5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BB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975F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2626B4">
                              <w:rPr>
                                <w:b/>
                                <w:sz w:val="24"/>
                              </w:rPr>
                              <w:t>2-2023</w:t>
                            </w:r>
                          </w:p>
                          <w:p w:rsidR="00E14260" w:rsidRDefault="00C975F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Mathematics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80D5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80D5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2BB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1080"/>
        <w:gridCol w:w="1085"/>
      </w:tblGrid>
      <w:tr w:rsidR="00BD787A" w:rsidTr="00C975F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916F3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 xml:space="preserve">GE Objective </w:t>
            </w:r>
            <w:r w:rsidR="00916F31">
              <w:rPr>
                <w:rFonts w:ascii="Calibri" w:hAnsi="Calibri"/>
                <w:color w:val="000000"/>
                <w:sz w:val="15"/>
                <w:szCs w:val="15"/>
              </w:rPr>
              <w:t>3: MATH 1170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916F3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544029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C975FF" w:rsidRPr="00AE7434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544029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  <w:bookmarkStart w:id="0" w:name="_GoBack"/>
            <w:bookmarkEnd w:id="0"/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7</w:t>
            </w:r>
            <w:r>
              <w:rPr>
                <w:sz w:val="15"/>
                <w:szCs w:val="15"/>
              </w:rPr>
              <w:t>/8</w:t>
            </w:r>
            <w:r w:rsidRPr="00FA2B87">
              <w:rPr>
                <w:sz w:val="15"/>
                <w:szCs w:val="15"/>
              </w:rPr>
              <w:t>:  CS 1181 Intro to CS &amp; Programming 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F2034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rPr>
          <w:trHeight w:val="110"/>
        </w:trPr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975FF" w:rsidRPr="00194BA6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and either Math 2240 or Math 2287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292C65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4407 Modern Algebra I </w:t>
            </w:r>
          </w:p>
        </w:tc>
        <w:tc>
          <w:tcPr>
            <w:tcW w:w="450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and math 2287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 w:rsidR="00B52F45"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89583A" w:rsidP="00C975FF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B52F45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52F45" w:rsidTr="00A65BAB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w/lab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8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4423 Intro to Real Analysis I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430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2240, Math 3326, Math 3360.</w:t>
            </w:r>
          </w:p>
        </w:tc>
        <w:tc>
          <w:tcPr>
            <w:tcW w:w="2165" w:type="dxa"/>
            <w:gridSpan w:val="2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52F45" w:rsidTr="00C975F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4"/>
                <w:szCs w:val="14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71323" w:rsidRDefault="00B52F45" w:rsidP="00B52F45">
            <w:pPr>
              <w:pStyle w:val="NoSpacing"/>
              <w:rPr>
                <w:sz w:val="12"/>
                <w:szCs w:val="12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B00D09">
        <w:trPr>
          <w:trHeight w:val="275"/>
        </w:trPr>
        <w:tc>
          <w:tcPr>
            <w:tcW w:w="11070" w:type="dxa"/>
            <w:gridSpan w:val="10"/>
          </w:tcPr>
          <w:p w:rsidR="00B52F45" w:rsidRPr="00943870" w:rsidRDefault="00B52F45" w:rsidP="00B52F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52F45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C975F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Mathematics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2626B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540" w:type="dxa"/>
            <w:shd w:val="clear" w:color="auto" w:fill="auto"/>
          </w:tcPr>
          <w:p w:rsidR="00C975FF" w:rsidRPr="00CE7B66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2B256B">
        <w:tc>
          <w:tcPr>
            <w:tcW w:w="5400" w:type="dxa"/>
            <w:gridSpan w:val="2"/>
            <w:shd w:val="clear" w:color="auto" w:fill="auto"/>
            <w:vAlign w:val="bottom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 w:rsidRPr="00C975FF">
              <w:rPr>
                <w:sz w:val="18"/>
                <w:szCs w:val="18"/>
              </w:rPr>
              <w:t xml:space="preserve">Mathematics      (3 cr. min)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975FF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FC6CE0">
        <w:tc>
          <w:tcPr>
            <w:tcW w:w="5400" w:type="dxa"/>
            <w:gridSpan w:val="2"/>
            <w:shd w:val="clear" w:color="auto" w:fill="auto"/>
          </w:tcPr>
          <w:p w:rsidR="00C975FF" w:rsidRPr="00C975FF" w:rsidRDefault="00C975FF" w:rsidP="00C975FF">
            <w:pPr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^^CS/INFO 1181 CS &amp; Programming I </w:t>
            </w:r>
            <w:r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 xml:space="preserve">     (credits counted in GE)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975FF" w:rsidRPr="00B60C98" w:rsidTr="005C6D5D"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540" w:type="dxa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975FF" w:rsidRPr="00B60C98" w:rsidTr="005C6D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>
              <w:rPr>
                <w:rFonts w:ascii="Calibri" w:hAnsi="Calibri"/>
                <w:i/>
                <w:sz w:val="20"/>
                <w:szCs w:val="20"/>
              </w:rPr>
              <w:t>3 Introduction to Real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975FF" w:rsidRPr="00A3793B" w:rsidRDefault="00C975FF" w:rsidP="00C975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two of the following courses</w:t>
            </w:r>
            <w:r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C975FF" w:rsidRPr="00C975FF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3327 Vector Analysis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3335 Elementary Number Theory</w:t>
            </w:r>
          </w:p>
        </w:tc>
        <w:tc>
          <w:tcPr>
            <w:tcW w:w="540" w:type="dxa"/>
            <w:shd w:val="clear" w:color="auto" w:fill="auto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4E42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3343 Modern Geometry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3352 Intro to Probability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975FF" w:rsidRPr="00B60C98" w:rsidTr="00C94E4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3362 Intro to Complex Variables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4E42" w:rsidRPr="00B60C98" w:rsidTr="00C94E42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94E42" w:rsidRPr="00C94E42" w:rsidRDefault="00C94E42" w:rsidP="00C94E42">
            <w:pPr>
              <w:rPr>
                <w:rFonts w:cstheme="minorHAnsi"/>
                <w:b/>
                <w:sz w:val="20"/>
                <w:szCs w:val="20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Choose 9 credits of 4000-level coursework from </w:t>
            </w:r>
          </w:p>
        </w:tc>
        <w:tc>
          <w:tcPr>
            <w:tcW w:w="540" w:type="dxa"/>
            <w:vMerge w:val="restart"/>
            <w:vAlign w:val="center"/>
          </w:tcPr>
          <w:p w:rsidR="00C94E42" w:rsidRPr="00C94E42" w:rsidRDefault="00C94E42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4E42" w:rsidRPr="00B60C98" w:rsidTr="00C94E42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94E42" w:rsidRPr="00C94E42" w:rsidRDefault="00C94E42" w:rsidP="00C975FF">
            <w:pPr>
              <w:rPr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Mathematics and/or Statistics</w:t>
            </w:r>
          </w:p>
        </w:tc>
        <w:tc>
          <w:tcPr>
            <w:tcW w:w="540" w:type="dxa"/>
            <w:vMerge/>
            <w:vAlign w:val="center"/>
          </w:tcPr>
          <w:p w:rsidR="00C94E42" w:rsidRPr="00A3793B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4E42" w:rsidRPr="00B60C98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2C6294" w:rsidRDefault="00C975FF" w:rsidP="00C975F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2C6294" w:rsidRDefault="00C975FF" w:rsidP="00C97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975FF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975FF" w:rsidRPr="002B6A71" w:rsidRDefault="00C975FF" w:rsidP="00C975F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5C6D5D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321DE4" w:rsidRDefault="00C975FF" w:rsidP="00C975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4E42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E14260" w:rsidRDefault="00C975FF" w:rsidP="00C975F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75F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BC7DE3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^^Two courses (ME 1165 and ME 2266) may be</w:t>
            </w:r>
            <w:r>
              <w:rPr>
                <w:sz w:val="20"/>
                <w:szCs w:val="20"/>
              </w:rPr>
              <w:t xml:space="preserve"> </w:t>
            </w:r>
            <w:r w:rsidRPr="007313BA">
              <w:rPr>
                <w:sz w:val="20"/>
                <w:szCs w:val="20"/>
              </w:rPr>
              <w:t xml:space="preserve"> substituted</w:t>
            </w:r>
            <w:r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/INFO</w:t>
            </w:r>
            <w:r w:rsidRPr="007313BA">
              <w:rPr>
                <w:sz w:val="20"/>
                <w:szCs w:val="20"/>
              </w:rPr>
              <w:t xml:space="preserve">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975FF" w:rsidRPr="004C0486" w:rsidRDefault="00C975FF" w:rsidP="00C975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975FF" w:rsidRPr="008C01E4" w:rsidRDefault="00C975FF" w:rsidP="00C975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975FF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F055F6" w:rsidRDefault="00C975FF" w:rsidP="00C975F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54" w:rsidRDefault="00580D54" w:rsidP="008518ED">
      <w:pPr>
        <w:spacing w:after="0" w:line="240" w:lineRule="auto"/>
      </w:pPr>
      <w:r>
        <w:separator/>
      </w:r>
    </w:p>
  </w:endnote>
  <w:endnote w:type="continuationSeparator" w:id="0">
    <w:p w:rsidR="00580D54" w:rsidRDefault="00580D5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54" w:rsidRDefault="00580D54" w:rsidP="008518ED">
      <w:pPr>
        <w:spacing w:after="0" w:line="240" w:lineRule="auto"/>
      </w:pPr>
      <w:r>
        <w:separator/>
      </w:r>
    </w:p>
  </w:footnote>
  <w:footnote w:type="continuationSeparator" w:id="0">
    <w:p w:rsidR="00580D54" w:rsidRDefault="00580D5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626B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4029"/>
    <w:rsid w:val="00546744"/>
    <w:rsid w:val="00572ABC"/>
    <w:rsid w:val="00580D54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247D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29A4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583A"/>
    <w:rsid w:val="008B1851"/>
    <w:rsid w:val="008C01E4"/>
    <w:rsid w:val="008F1E98"/>
    <w:rsid w:val="008F6048"/>
    <w:rsid w:val="008F6885"/>
    <w:rsid w:val="00916F31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0D56"/>
    <w:rsid w:val="00AA1DB7"/>
    <w:rsid w:val="00AB13A1"/>
    <w:rsid w:val="00AB7151"/>
    <w:rsid w:val="00AC15BC"/>
    <w:rsid w:val="00AC4C57"/>
    <w:rsid w:val="00AC5A04"/>
    <w:rsid w:val="00AF2BB8"/>
    <w:rsid w:val="00AF597C"/>
    <w:rsid w:val="00B00D09"/>
    <w:rsid w:val="00B10D50"/>
    <w:rsid w:val="00B50C59"/>
    <w:rsid w:val="00B52F45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DE3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4E42"/>
    <w:rsid w:val="00C975FF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055F6"/>
    <w:rsid w:val="00F20341"/>
    <w:rsid w:val="00F31FE0"/>
    <w:rsid w:val="00F5131F"/>
    <w:rsid w:val="00F722EA"/>
    <w:rsid w:val="00F74EE3"/>
    <w:rsid w:val="00F758A5"/>
    <w:rsid w:val="00F83226"/>
    <w:rsid w:val="00F84E02"/>
    <w:rsid w:val="00F859C0"/>
    <w:rsid w:val="00F926A8"/>
    <w:rsid w:val="00FC0287"/>
    <w:rsid w:val="00FC39DE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3A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833C-7DAA-44AF-AE61-8228543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45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11</cp:revision>
  <cp:lastPrinted>2020-10-09T18:26:00Z</cp:lastPrinted>
  <dcterms:created xsi:type="dcterms:W3CDTF">2020-10-09T17:52:00Z</dcterms:created>
  <dcterms:modified xsi:type="dcterms:W3CDTF">2022-06-08T17:20:00Z</dcterms:modified>
</cp:coreProperties>
</file>