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2976245</wp:posOffset>
                </wp:positionH>
                <wp:positionV relativeFrom="paragraph">
                  <wp:posOffset>-266383</wp:posOffset>
                </wp:positionV>
                <wp:extent cx="4219575" cy="8858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5E099F" w:rsidRPr="00A0716F" w:rsidRDefault="005E099F" w:rsidP="005E099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ED7D1A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ED7D1A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5E099F" w:rsidRPr="00A0716F" w:rsidRDefault="005E099F" w:rsidP="005E099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:rsidR="005E099F" w:rsidRDefault="005E099F" w:rsidP="005E099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Corporate Communication </w:t>
                                  </w:r>
                                </w:p>
                                <w:p w:rsidR="00E14260" w:rsidRDefault="005E099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Track: Advertising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3786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7D1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3786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7D1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35pt;margin-top:-21pt;width:332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GBIQ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5E099F" w:rsidRPr="00A0716F" w:rsidRDefault="005E099F" w:rsidP="005E099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ED7D1A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ED7D1A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5E099F" w:rsidRPr="00A0716F" w:rsidRDefault="005E099F" w:rsidP="005E099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:rsidR="005E099F" w:rsidRDefault="005E099F" w:rsidP="005E099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Corporate Communication </w:t>
                            </w:r>
                          </w:p>
                          <w:p w:rsidR="00E14260" w:rsidRDefault="005E099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Track: Advertising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3786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7D1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3786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7D1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5"/>
        <w:gridCol w:w="450"/>
        <w:gridCol w:w="540"/>
        <w:gridCol w:w="720"/>
        <w:gridCol w:w="23"/>
        <w:gridCol w:w="692"/>
        <w:gridCol w:w="3062"/>
        <w:gridCol w:w="1538"/>
      </w:tblGrid>
      <w:tr w:rsidR="00BD787A" w:rsidTr="00D42E4F">
        <w:tc>
          <w:tcPr>
            <w:tcW w:w="404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062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538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E099F" w:rsidTr="00D42E4F">
        <w:tc>
          <w:tcPr>
            <w:tcW w:w="4045" w:type="dxa"/>
          </w:tcPr>
          <w:p w:rsidR="005E099F" w:rsidRPr="00E67D37" w:rsidRDefault="005E099F" w:rsidP="005E09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2" w:type="dxa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538" w:type="dxa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</w:p>
        </w:tc>
      </w:tr>
      <w:tr w:rsidR="005E099F" w:rsidTr="00D42E4F">
        <w:tc>
          <w:tcPr>
            <w:tcW w:w="4045" w:type="dxa"/>
          </w:tcPr>
          <w:p w:rsidR="005E099F" w:rsidRPr="00E67D37" w:rsidRDefault="005E099F" w:rsidP="005E09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E0244D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5E099F" w:rsidRPr="00E67D37" w:rsidRDefault="005E099F" w:rsidP="005E09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2" w:type="dxa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:rsidR="005E099F" w:rsidRPr="00E67D37" w:rsidRDefault="005E099F" w:rsidP="005E099F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283673">
        <w:tc>
          <w:tcPr>
            <w:tcW w:w="4045" w:type="dxa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  <w:r w:rsidRPr="00E0244D"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2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E67D37" w:rsidRDefault="001C086B" w:rsidP="001C08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2" w:type="dxa"/>
            <w:vAlign w:val="center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E67D37" w:rsidRDefault="001C086B" w:rsidP="001C086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Electives: </w:t>
            </w:r>
            <w:r>
              <w:t xml:space="preserve"> </w:t>
            </w:r>
            <w:r w:rsidRPr="00E0244D">
              <w:rPr>
                <w:sz w:val="16"/>
                <w:szCs w:val="16"/>
              </w:rPr>
              <w:t>ROAR 1199 is recommended</w:t>
            </w:r>
          </w:p>
        </w:tc>
        <w:tc>
          <w:tcPr>
            <w:tcW w:w="45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  <w:shd w:val="clear" w:color="auto" w:fill="F2F2F2" w:themeFill="background1" w:themeFillShade="F2"/>
          </w:tcPr>
          <w:p w:rsidR="001C086B" w:rsidRDefault="001C086B" w:rsidP="001C086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C086B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C086B" w:rsidTr="00D42E4F">
        <w:tc>
          <w:tcPr>
            <w:tcW w:w="4045" w:type="dxa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2" w:type="dxa"/>
          </w:tcPr>
          <w:p w:rsidR="001C086B" w:rsidRPr="00700B07" w:rsidRDefault="001C086B" w:rsidP="001C086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538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Pr="00FE7FE0">
              <w:rPr>
                <w:sz w:val="16"/>
                <w:szCs w:val="16"/>
              </w:rPr>
              <w:t>2: COMM 1101</w:t>
            </w:r>
          </w:p>
        </w:tc>
        <w:tc>
          <w:tcPr>
            <w:tcW w:w="45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2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2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  <w:shd w:val="clear" w:color="auto" w:fill="F2F2F2" w:themeFill="background1" w:themeFillShade="F2"/>
          </w:tcPr>
          <w:p w:rsidR="001C086B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C086B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C086B" w:rsidTr="00D42E4F">
        <w:tc>
          <w:tcPr>
            <w:tcW w:w="4045" w:type="dxa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  <w:r w:rsidRPr="00E0244D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2" w:type="dxa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  <w:r w:rsidRPr="00E0244D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538" w:type="dxa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062" w:type="dxa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rPr>
          <w:trHeight w:val="110"/>
        </w:trPr>
        <w:tc>
          <w:tcPr>
            <w:tcW w:w="4045" w:type="dxa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450" w:type="dxa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2" w:type="dxa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 1101</w:t>
            </w:r>
          </w:p>
        </w:tc>
        <w:tc>
          <w:tcPr>
            <w:tcW w:w="1538" w:type="dxa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2261 Intro to Advertising</w:t>
            </w:r>
          </w:p>
        </w:tc>
        <w:tc>
          <w:tcPr>
            <w:tcW w:w="450" w:type="dxa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2" w:type="dxa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  <w:shd w:val="clear" w:color="auto" w:fill="F2F2F2" w:themeFill="background1" w:themeFillShade="F2"/>
          </w:tcPr>
          <w:p w:rsidR="001C086B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C086B" w:rsidRPr="00194BA6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2F2F2" w:themeFill="background1" w:themeFillShade="F2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</w:tcPr>
          <w:p w:rsidR="001C086B" w:rsidRPr="00194BA6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C086B" w:rsidTr="00D42E4F">
        <w:tc>
          <w:tcPr>
            <w:tcW w:w="4045" w:type="dxa"/>
          </w:tcPr>
          <w:p w:rsidR="001C086B" w:rsidRPr="00292C65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2" w:type="dxa"/>
          </w:tcPr>
          <w:p w:rsidR="001C086B" w:rsidRPr="00292C65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D42DE8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292C65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2" w:type="dxa"/>
          </w:tcPr>
          <w:p w:rsidR="001C086B" w:rsidRPr="00292C65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D42DE8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292C65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2" w:type="dxa"/>
          </w:tcPr>
          <w:p w:rsidR="001C086B" w:rsidRPr="00292C65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D42DE8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292C65" w:rsidRDefault="001C086B" w:rsidP="001C086B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3365 Advertising Strategy and Copywriting</w:t>
            </w:r>
          </w:p>
        </w:tc>
        <w:tc>
          <w:tcPr>
            <w:tcW w:w="450" w:type="dxa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2" w:type="dxa"/>
          </w:tcPr>
          <w:p w:rsidR="001C086B" w:rsidRPr="00292C65" w:rsidRDefault="001C086B" w:rsidP="001C08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2261 and CMP 2231 OR MKTG 2225</w:t>
            </w:r>
          </w:p>
        </w:tc>
        <w:tc>
          <w:tcPr>
            <w:tcW w:w="1538" w:type="dxa"/>
          </w:tcPr>
          <w:p w:rsidR="001C086B" w:rsidRPr="00D42DE8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292C65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one: CMP 3336 or CMP 4475</w:t>
            </w:r>
          </w:p>
        </w:tc>
        <w:tc>
          <w:tcPr>
            <w:tcW w:w="450" w:type="dxa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062" w:type="dxa"/>
          </w:tcPr>
          <w:p w:rsidR="001C086B" w:rsidRPr="00292C65" w:rsidRDefault="001C086B" w:rsidP="001C08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or CMP 2271</w:t>
            </w:r>
          </w:p>
        </w:tc>
        <w:tc>
          <w:tcPr>
            <w:tcW w:w="1538" w:type="dxa"/>
          </w:tcPr>
          <w:p w:rsidR="001C086B" w:rsidRPr="00D42DE8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D42E4F">
        <w:tc>
          <w:tcPr>
            <w:tcW w:w="4045" w:type="dxa"/>
            <w:shd w:val="clear" w:color="auto" w:fill="F2F2F2" w:themeFill="background1" w:themeFillShade="F2"/>
          </w:tcPr>
          <w:p w:rsidR="001C086B" w:rsidRPr="00292C65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C086B" w:rsidRPr="00292C65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2F2F2" w:themeFill="background1" w:themeFillShade="F2"/>
          </w:tcPr>
          <w:p w:rsidR="001C086B" w:rsidRPr="00D42DE8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</w:tcPr>
          <w:p w:rsidR="001C086B" w:rsidRPr="00D42DE8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1C086B" w:rsidRPr="00292C65" w:rsidRDefault="001C086B" w:rsidP="001C086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C086B" w:rsidTr="00D42E4F">
        <w:tc>
          <w:tcPr>
            <w:tcW w:w="4045" w:type="dxa"/>
            <w:shd w:val="clear" w:color="auto" w:fill="FFFFFF" w:themeFill="background1"/>
            <w:vAlign w:val="bottom"/>
          </w:tcPr>
          <w:p w:rsidR="001C086B" w:rsidRPr="00BA2629" w:rsidRDefault="001C086B" w:rsidP="001C0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5</w:t>
            </w:r>
          </w:p>
        </w:tc>
        <w:tc>
          <w:tcPr>
            <w:tcW w:w="450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2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  <w:shd w:val="clear" w:color="auto" w:fill="FFFFFF" w:themeFill="background1"/>
            <w:vAlign w:val="bottom"/>
          </w:tcPr>
          <w:p w:rsidR="001C086B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1C086B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C086B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C086B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062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1C086B" w:rsidRPr="00194BA6" w:rsidRDefault="001C086B" w:rsidP="001C086B">
            <w:pPr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  <w:shd w:val="clear" w:color="auto" w:fill="FFFFFF" w:themeFill="background1"/>
            <w:vAlign w:val="bottom"/>
          </w:tcPr>
          <w:p w:rsidR="001C086B" w:rsidRPr="00BA2629" w:rsidRDefault="001C086B" w:rsidP="001C086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2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  <w:vAlign w:val="bottom"/>
          </w:tcPr>
          <w:p w:rsidR="001C086B" w:rsidRPr="00BA2629" w:rsidRDefault="001C086B" w:rsidP="001C0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3367 </w:t>
            </w:r>
            <w:r w:rsidRPr="00ED7D1A">
              <w:rPr>
                <w:sz w:val="16"/>
                <w:szCs w:val="16"/>
              </w:rPr>
              <w:t>Media Analytics</w:t>
            </w:r>
          </w:p>
        </w:tc>
        <w:tc>
          <w:tcPr>
            <w:tcW w:w="45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2" w:type="dxa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  <w:r w:rsidRPr="00745EEB">
              <w:rPr>
                <w:sz w:val="16"/>
                <w:szCs w:val="16"/>
              </w:rPr>
              <w:t>MATH 1123 or higher</w:t>
            </w:r>
          </w:p>
        </w:tc>
        <w:tc>
          <w:tcPr>
            <w:tcW w:w="1538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  <w:vAlign w:val="bottom"/>
          </w:tcPr>
          <w:p w:rsidR="001C086B" w:rsidRPr="00BA2629" w:rsidRDefault="001C086B" w:rsidP="001C0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C086B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C086B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D42E4F">
        <w:tc>
          <w:tcPr>
            <w:tcW w:w="4045" w:type="dxa"/>
            <w:shd w:val="clear" w:color="auto" w:fill="F2F2F2" w:themeFill="background1" w:themeFillShade="F2"/>
          </w:tcPr>
          <w:p w:rsidR="001C086B" w:rsidRPr="00BA2629" w:rsidRDefault="001C086B" w:rsidP="001C0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C086B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086B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2F2F2" w:themeFill="background1" w:themeFillShade="F2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C086B" w:rsidTr="00D42E4F">
        <w:tc>
          <w:tcPr>
            <w:tcW w:w="4045" w:type="dxa"/>
          </w:tcPr>
          <w:p w:rsidR="001C086B" w:rsidRPr="00BA2629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2" w:type="dxa"/>
            <w:shd w:val="clear" w:color="auto" w:fill="FFFFFF" w:themeFill="background1"/>
          </w:tcPr>
          <w:p w:rsidR="001C086B" w:rsidRPr="00473C19" w:rsidRDefault="001C086B" w:rsidP="001C086B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1C086B" w:rsidRPr="00473C19" w:rsidRDefault="001C086B" w:rsidP="001C086B">
            <w:pPr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BA2629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2" w:type="dxa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8" w:type="dxa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BA2629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2" w:type="dxa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8" w:type="dxa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BA2629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4465 Advertising Campaigns</w:t>
            </w:r>
          </w:p>
        </w:tc>
        <w:tc>
          <w:tcPr>
            <w:tcW w:w="45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2" w:type="dxa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3365</w:t>
            </w:r>
          </w:p>
        </w:tc>
        <w:tc>
          <w:tcPr>
            <w:tcW w:w="1538" w:type="dxa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BA2629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8" w:type="dxa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D42E4F">
        <w:tc>
          <w:tcPr>
            <w:tcW w:w="4045" w:type="dxa"/>
            <w:shd w:val="clear" w:color="auto" w:fill="F2F2F2" w:themeFill="background1" w:themeFillShade="F2"/>
          </w:tcPr>
          <w:p w:rsidR="001C086B" w:rsidRPr="00BA2629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2F2F2" w:themeFill="background1" w:themeFillShade="F2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C086B" w:rsidTr="00D42E4F">
        <w:tc>
          <w:tcPr>
            <w:tcW w:w="4045" w:type="dxa"/>
          </w:tcPr>
          <w:p w:rsidR="001C086B" w:rsidRPr="00B67A57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C086B" w:rsidRPr="00BA2629" w:rsidRDefault="001C086B" w:rsidP="001C0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:rsidR="001C086B" w:rsidRPr="00473C19" w:rsidRDefault="001C086B" w:rsidP="001C086B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1C086B" w:rsidRPr="00473C19" w:rsidRDefault="001C086B" w:rsidP="001C086B">
            <w:pPr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B67A57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Upper Division Elective</w:t>
            </w:r>
          </w:p>
        </w:tc>
        <w:tc>
          <w:tcPr>
            <w:tcW w:w="45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B67A57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E67D37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</w:tr>
      <w:tr w:rsidR="001C086B" w:rsidTr="00D42E4F">
        <w:tc>
          <w:tcPr>
            <w:tcW w:w="4045" w:type="dxa"/>
            <w:shd w:val="clear" w:color="auto" w:fill="F2F2F2" w:themeFill="background1" w:themeFillShade="F2"/>
          </w:tcPr>
          <w:p w:rsidR="001C086B" w:rsidRPr="00B67A57" w:rsidRDefault="001C086B" w:rsidP="001C086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2F2F2" w:themeFill="background1" w:themeFillShade="F2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1C086B" w:rsidRPr="00C04A5A" w:rsidRDefault="001C086B" w:rsidP="001C086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C086B" w:rsidTr="00D42E4F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1C086B" w:rsidRPr="00B67A57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D42E4F">
        <w:tc>
          <w:tcPr>
            <w:tcW w:w="4045" w:type="dxa"/>
            <w:shd w:val="clear" w:color="auto" w:fill="FFFFFF" w:themeFill="background1"/>
          </w:tcPr>
          <w:p w:rsidR="001C086B" w:rsidRPr="00B67A57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:rsidR="001C086B" w:rsidRPr="00473C19" w:rsidRDefault="001C086B" w:rsidP="001C086B">
            <w:pPr>
              <w:rPr>
                <w:sz w:val="14"/>
                <w:szCs w:val="14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1C086B" w:rsidRPr="00473C19" w:rsidRDefault="001C086B" w:rsidP="001C086B">
            <w:pPr>
              <w:rPr>
                <w:sz w:val="14"/>
                <w:szCs w:val="14"/>
              </w:rPr>
            </w:pPr>
          </w:p>
        </w:tc>
      </w:tr>
      <w:tr w:rsidR="001C086B" w:rsidTr="00D42E4F">
        <w:tc>
          <w:tcPr>
            <w:tcW w:w="4045" w:type="dxa"/>
          </w:tcPr>
          <w:p w:rsidR="001C086B" w:rsidRPr="00B67A57" w:rsidRDefault="001C086B" w:rsidP="001C0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</w:tcPr>
          <w:p w:rsidR="001C086B" w:rsidRPr="00C04A5A" w:rsidRDefault="001C086B" w:rsidP="001C086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38" w:type="dxa"/>
          </w:tcPr>
          <w:p w:rsidR="001C086B" w:rsidRPr="00E71323" w:rsidRDefault="001C086B" w:rsidP="001C086B">
            <w:pPr>
              <w:pStyle w:val="NoSpacing"/>
              <w:rPr>
                <w:sz w:val="12"/>
                <w:szCs w:val="12"/>
              </w:rPr>
            </w:pPr>
          </w:p>
        </w:tc>
      </w:tr>
      <w:tr w:rsidR="001C086B" w:rsidTr="00D42E4F">
        <w:tc>
          <w:tcPr>
            <w:tcW w:w="4045" w:type="dxa"/>
            <w:shd w:val="clear" w:color="auto" w:fill="F2F2F2" w:themeFill="background1" w:themeFillShade="F2"/>
          </w:tcPr>
          <w:p w:rsidR="001C086B" w:rsidRPr="00B67A57" w:rsidRDefault="001C086B" w:rsidP="001C086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C086B" w:rsidRPr="00E67D37" w:rsidRDefault="001C086B" w:rsidP="001C086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2" w:type="dxa"/>
            <w:shd w:val="clear" w:color="auto" w:fill="F2F2F2" w:themeFill="background1" w:themeFillShade="F2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</w:tcPr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</w:p>
        </w:tc>
      </w:tr>
      <w:tr w:rsidR="001C086B" w:rsidTr="00B00D09">
        <w:trPr>
          <w:trHeight w:val="275"/>
        </w:trPr>
        <w:tc>
          <w:tcPr>
            <w:tcW w:w="11070" w:type="dxa"/>
            <w:gridSpan w:val="8"/>
          </w:tcPr>
          <w:p w:rsidR="001C086B" w:rsidRPr="00943870" w:rsidRDefault="001C086B" w:rsidP="001C086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C086B" w:rsidRDefault="001C086B" w:rsidP="001C086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C086B" w:rsidRPr="00C04A5A" w:rsidRDefault="001C086B" w:rsidP="001C086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8B19B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Communication, </w:t>
            </w:r>
            <w:r w:rsidRPr="008B19B4">
              <w:rPr>
                <w:sz w:val="20"/>
                <w:szCs w:val="20"/>
              </w:rPr>
              <w:t>Corporate Communication, Advertising</w:t>
            </w:r>
            <w:r>
              <w:rPr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8B19B4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9B4" w:rsidRPr="00B60C98" w:rsidRDefault="00A01763" w:rsidP="00A01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D7D1A">
              <w:rPr>
                <w:b/>
                <w:sz w:val="24"/>
                <w:szCs w:val="24"/>
              </w:rPr>
              <w:t>2</w:t>
            </w:r>
            <w:r w:rsidR="008B19B4">
              <w:rPr>
                <w:b/>
                <w:sz w:val="24"/>
                <w:szCs w:val="24"/>
              </w:rPr>
              <w:t>-202</w:t>
            </w:r>
            <w:r w:rsidR="00ED7D1A">
              <w:rPr>
                <w:b/>
                <w:sz w:val="24"/>
                <w:szCs w:val="24"/>
              </w:rPr>
              <w:t>3</w:t>
            </w:r>
            <w:r w:rsidR="008B19B4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19B4" w:rsidRPr="00B60C98" w:rsidRDefault="008B19B4" w:rsidP="008B19B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19B4" w:rsidRPr="00B60C98" w:rsidRDefault="008B19B4" w:rsidP="008B19B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8B19B4" w:rsidRPr="00B60C98" w:rsidRDefault="008B19B4" w:rsidP="008B19B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19B4" w:rsidRPr="00B60C98" w:rsidRDefault="008B19B4" w:rsidP="008B19B4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8B19B4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8B19B4" w:rsidRPr="00B60C98" w:rsidRDefault="008B19B4" w:rsidP="008B19B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B19B4" w:rsidRPr="00B60C98" w:rsidRDefault="008B19B4" w:rsidP="008B1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Core Courses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8B19B4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b/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 xml:space="preserve">Advertising Track Courses                          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1110 Media 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2261 Intro to Advertising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B19B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color w:val="000000"/>
                <w:sz w:val="16"/>
                <w:szCs w:val="16"/>
              </w:rPr>
              <w:t>CMP 3365 Advertising Strategy and Copywriting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 xml:space="preserve">CMP 3367 </w:t>
            </w:r>
            <w:r w:rsidR="00ED7D1A" w:rsidRPr="00ED7D1A">
              <w:rPr>
                <w:sz w:val="16"/>
                <w:szCs w:val="16"/>
              </w:rPr>
              <w:t>Media Analytics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8B19B4" w:rsidRPr="00B60C98" w:rsidTr="00686401">
        <w:tc>
          <w:tcPr>
            <w:tcW w:w="4860" w:type="dxa"/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4465 Advertising Campaigns</w:t>
            </w:r>
          </w:p>
        </w:tc>
        <w:tc>
          <w:tcPr>
            <w:tcW w:w="540" w:type="dxa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B19B4" w:rsidRPr="00B60C98" w:rsidTr="00154A76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B19B4" w:rsidRPr="00616719" w:rsidRDefault="008B19B4" w:rsidP="008B19B4">
            <w:pPr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Choose ONE of the following:</w:t>
            </w:r>
          </w:p>
        </w:tc>
        <w:tc>
          <w:tcPr>
            <w:tcW w:w="540" w:type="dxa"/>
            <w:shd w:val="clear" w:color="auto" w:fill="auto"/>
          </w:tcPr>
          <w:p w:rsidR="008B19B4" w:rsidRPr="00616719" w:rsidRDefault="008B19B4" w:rsidP="008B1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B19B4" w:rsidRPr="00B60C98" w:rsidRDefault="008B19B4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8B19B4" w:rsidRPr="00B60C98" w:rsidRDefault="008B19B4" w:rsidP="008B19B4">
            <w:pPr>
              <w:jc w:val="center"/>
              <w:rPr>
                <w:sz w:val="18"/>
                <w:szCs w:val="18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154A76" w:rsidRPr="00616719" w:rsidRDefault="00154A76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CMP 3336 Studio I: Typography and Digital Media</w:t>
            </w:r>
          </w:p>
        </w:tc>
        <w:tc>
          <w:tcPr>
            <w:tcW w:w="540" w:type="dxa"/>
            <w:vMerge w:val="restart"/>
            <w:vAlign w:val="center"/>
          </w:tcPr>
          <w:p w:rsidR="00154A76" w:rsidRPr="00616719" w:rsidRDefault="00154A76" w:rsidP="008B19B4">
            <w:pPr>
              <w:jc w:val="center"/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54A76" w:rsidRPr="00B60C98" w:rsidRDefault="00154A76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54A76" w:rsidRPr="00B60C98" w:rsidRDefault="00154A76" w:rsidP="008B19B4">
            <w:pPr>
              <w:rPr>
                <w:sz w:val="18"/>
                <w:szCs w:val="18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154A76" w:rsidRPr="00616719" w:rsidRDefault="00154A76" w:rsidP="008B19B4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 xml:space="preserve">   OR CMP 4437 Illustration and Brand Identity</w:t>
            </w:r>
          </w:p>
        </w:tc>
        <w:tc>
          <w:tcPr>
            <w:tcW w:w="540" w:type="dxa"/>
            <w:vMerge/>
          </w:tcPr>
          <w:p w:rsidR="00154A76" w:rsidRPr="00616719" w:rsidRDefault="00154A76" w:rsidP="008B1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54A76" w:rsidRPr="00B60C98" w:rsidRDefault="00154A76" w:rsidP="008B19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54A76" w:rsidRPr="00B60C98" w:rsidTr="00F758A5">
        <w:tc>
          <w:tcPr>
            <w:tcW w:w="4860" w:type="dxa"/>
            <w:shd w:val="clear" w:color="auto" w:fill="auto"/>
          </w:tcPr>
          <w:p w:rsidR="00154A76" w:rsidRPr="00616719" w:rsidRDefault="00154A76" w:rsidP="00154A76">
            <w:pPr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CMP Electives:</w:t>
            </w:r>
          </w:p>
        </w:tc>
        <w:tc>
          <w:tcPr>
            <w:tcW w:w="540" w:type="dxa"/>
          </w:tcPr>
          <w:p w:rsidR="00154A76" w:rsidRPr="00616719" w:rsidRDefault="00154A76" w:rsidP="00154A76">
            <w:pPr>
              <w:jc w:val="center"/>
              <w:rPr>
                <w:sz w:val="16"/>
                <w:szCs w:val="16"/>
              </w:rPr>
            </w:pPr>
            <w:r w:rsidRPr="0061671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</w:tr>
      <w:tr w:rsidR="00154A76" w:rsidRPr="00B60C98" w:rsidTr="00F758A5">
        <w:tc>
          <w:tcPr>
            <w:tcW w:w="4860" w:type="dxa"/>
            <w:shd w:val="clear" w:color="auto" w:fill="auto"/>
          </w:tcPr>
          <w:p w:rsidR="00154A76" w:rsidRPr="00616719" w:rsidRDefault="00154A76" w:rsidP="00154A76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Complete 3 credits from CMP curriculum at 3000-level or above</w:t>
            </w:r>
          </w:p>
        </w:tc>
        <w:tc>
          <w:tcPr>
            <w:tcW w:w="540" w:type="dxa"/>
          </w:tcPr>
          <w:p w:rsidR="00154A76" w:rsidRPr="00616719" w:rsidRDefault="00154A76" w:rsidP="00154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616719" w:rsidRDefault="00154A76" w:rsidP="00154A76">
            <w:pPr>
              <w:rPr>
                <w:sz w:val="16"/>
                <w:szCs w:val="16"/>
              </w:rPr>
            </w:pPr>
            <w:r w:rsidRPr="00616719">
              <w:rPr>
                <w:sz w:val="16"/>
                <w:szCs w:val="16"/>
              </w:rPr>
              <w:t>Complete 6 credits from CMP curriculum</w:t>
            </w:r>
          </w:p>
        </w:tc>
        <w:tc>
          <w:tcPr>
            <w:tcW w:w="540" w:type="dxa"/>
          </w:tcPr>
          <w:p w:rsidR="00154A76" w:rsidRPr="00616719" w:rsidRDefault="00154A76" w:rsidP="00154A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CD670E" w:rsidRDefault="00154A76" w:rsidP="00154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54A76" w:rsidRPr="002C6294" w:rsidRDefault="00154A76" w:rsidP="00154A7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54A76" w:rsidRPr="002C6294" w:rsidRDefault="00154A76" w:rsidP="00154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154A76" w:rsidRDefault="00154A76" w:rsidP="00154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54A76" w:rsidRPr="002B6A71" w:rsidRDefault="00154A76" w:rsidP="00154A76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54A76" w:rsidRPr="00B60C98" w:rsidTr="00154A76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3356C4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54A76" w:rsidRPr="008560B4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3356C4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54A76" w:rsidRPr="00F028A6" w:rsidRDefault="00154A76" w:rsidP="00154A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154A76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54A76" w:rsidRPr="00FE1842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54A76" w:rsidRPr="00FE1842" w:rsidRDefault="00154A76" w:rsidP="00154A76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CD670E" w:rsidRDefault="00154A76" w:rsidP="00154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</w:p>
        </w:tc>
      </w:tr>
      <w:tr w:rsidR="00154A76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E14260" w:rsidRDefault="00154A76" w:rsidP="00154A76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54A76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54A76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76" w:rsidRPr="001F656B" w:rsidRDefault="00154A76" w:rsidP="00154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B30AD3" w:rsidP="00154A76">
            <w:pPr>
              <w:rPr>
                <w:sz w:val="18"/>
                <w:szCs w:val="18"/>
              </w:rPr>
            </w:pPr>
            <w:r w:rsidRPr="00953890">
              <w:rPr>
                <w:sz w:val="16"/>
                <w:szCs w:val="16"/>
              </w:rPr>
              <w:t xml:space="preserve">CMP </w:t>
            </w:r>
            <w:r>
              <w:rPr>
                <w:sz w:val="16"/>
                <w:szCs w:val="16"/>
              </w:rPr>
              <w:t>2203</w:t>
            </w:r>
            <w:r w:rsidRPr="00953890">
              <w:rPr>
                <w:sz w:val="16"/>
                <w:szCs w:val="16"/>
              </w:rPr>
              <w:t xml:space="preserve"> Argumentation</w:t>
            </w:r>
            <w:r>
              <w:rPr>
                <w:sz w:val="16"/>
                <w:szCs w:val="16"/>
              </w:rPr>
              <w:t xml:space="preserve"> is suggested for GE Objective 8</w:t>
            </w:r>
            <w:r w:rsidRPr="00953890">
              <w:rPr>
                <w:sz w:val="16"/>
                <w:szCs w:val="16"/>
              </w:rPr>
              <w:t xml:space="preserve">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54A76" w:rsidRPr="00B60C98" w:rsidRDefault="00154A76" w:rsidP="00154A7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54A76" w:rsidRPr="00B60C98" w:rsidRDefault="00ED7D1A" w:rsidP="00154A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154A76" w:rsidRPr="00B60C98" w:rsidRDefault="00ED7D1A" w:rsidP="001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  <w:r w:rsidR="00DB5F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/2022 </w:t>
            </w:r>
            <w:proofErr w:type="spellStart"/>
            <w:r>
              <w:rPr>
                <w:sz w:val="20"/>
                <w:szCs w:val="20"/>
              </w:rPr>
              <w:t>vlb</w:t>
            </w:r>
            <w:proofErr w:type="spellEnd"/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154A76" w:rsidRPr="004C0486" w:rsidRDefault="00154A76" w:rsidP="00154A7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54A76" w:rsidRPr="008C01E4" w:rsidRDefault="00154A76" w:rsidP="00154A76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54A76" w:rsidRPr="004C0486" w:rsidRDefault="00154A76" w:rsidP="00154A7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54A76" w:rsidRDefault="00154A76" w:rsidP="00154A7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54A76" w:rsidRPr="004C0486" w:rsidRDefault="00154A76" w:rsidP="00154A76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  <w:tr w:rsidR="00154A76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A76" w:rsidRPr="001F656B" w:rsidRDefault="00154A76" w:rsidP="00154A7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4A76" w:rsidRPr="00521695" w:rsidRDefault="00154A76" w:rsidP="00154A7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54A76" w:rsidRPr="00B60C98" w:rsidRDefault="00154A76" w:rsidP="00154A7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6A" w:rsidRDefault="00D3786A" w:rsidP="008518ED">
      <w:pPr>
        <w:spacing w:after="0" w:line="240" w:lineRule="auto"/>
      </w:pPr>
      <w:r>
        <w:separator/>
      </w:r>
    </w:p>
  </w:endnote>
  <w:endnote w:type="continuationSeparator" w:id="0">
    <w:p w:rsidR="00D3786A" w:rsidRDefault="00D3786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6A" w:rsidRDefault="00D3786A" w:rsidP="008518ED">
      <w:pPr>
        <w:spacing w:after="0" w:line="240" w:lineRule="auto"/>
      </w:pPr>
      <w:r>
        <w:separator/>
      </w:r>
    </w:p>
  </w:footnote>
  <w:footnote w:type="continuationSeparator" w:id="0">
    <w:p w:rsidR="00D3786A" w:rsidRDefault="00D3786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bE0M7G0MDezMDZW0lEKTi0uzszPAykwrAUAMbVY+CwAAAA="/>
  </w:docVars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0C8E"/>
    <w:rsid w:val="000D3B74"/>
    <w:rsid w:val="000D6D37"/>
    <w:rsid w:val="000E52A6"/>
    <w:rsid w:val="00121BC3"/>
    <w:rsid w:val="00122166"/>
    <w:rsid w:val="00154A76"/>
    <w:rsid w:val="00170351"/>
    <w:rsid w:val="00193CFE"/>
    <w:rsid w:val="00194BA6"/>
    <w:rsid w:val="001B04E4"/>
    <w:rsid w:val="001B3715"/>
    <w:rsid w:val="001B3F81"/>
    <w:rsid w:val="001B6F46"/>
    <w:rsid w:val="001C086B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3D06"/>
    <w:rsid w:val="003356C4"/>
    <w:rsid w:val="0036386E"/>
    <w:rsid w:val="0037691A"/>
    <w:rsid w:val="00384E42"/>
    <w:rsid w:val="00386994"/>
    <w:rsid w:val="00394440"/>
    <w:rsid w:val="003A06D2"/>
    <w:rsid w:val="003B5DA0"/>
    <w:rsid w:val="003D44B3"/>
    <w:rsid w:val="003F238B"/>
    <w:rsid w:val="003F2805"/>
    <w:rsid w:val="003F7D9B"/>
    <w:rsid w:val="00434098"/>
    <w:rsid w:val="00440754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0E6A"/>
    <w:rsid w:val="00541626"/>
    <w:rsid w:val="00546744"/>
    <w:rsid w:val="005631FE"/>
    <w:rsid w:val="00572ABC"/>
    <w:rsid w:val="005A240C"/>
    <w:rsid w:val="005B4A49"/>
    <w:rsid w:val="005C18A0"/>
    <w:rsid w:val="005E099F"/>
    <w:rsid w:val="005E4D62"/>
    <w:rsid w:val="00607E3D"/>
    <w:rsid w:val="006158FE"/>
    <w:rsid w:val="00616719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45EEB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B19B4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01763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1F2F"/>
    <w:rsid w:val="00AC4C57"/>
    <w:rsid w:val="00AC5A04"/>
    <w:rsid w:val="00AF597C"/>
    <w:rsid w:val="00B00D09"/>
    <w:rsid w:val="00B10D50"/>
    <w:rsid w:val="00B30AD3"/>
    <w:rsid w:val="00B50C59"/>
    <w:rsid w:val="00B51EF4"/>
    <w:rsid w:val="00B543DB"/>
    <w:rsid w:val="00B60C98"/>
    <w:rsid w:val="00B61C40"/>
    <w:rsid w:val="00B65DD7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3786A"/>
    <w:rsid w:val="00D42DE8"/>
    <w:rsid w:val="00D42E4F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5FC8"/>
    <w:rsid w:val="00DC4E37"/>
    <w:rsid w:val="00DC6C24"/>
    <w:rsid w:val="00DD67D4"/>
    <w:rsid w:val="00DF097F"/>
    <w:rsid w:val="00E0244D"/>
    <w:rsid w:val="00E14260"/>
    <w:rsid w:val="00E67D37"/>
    <w:rsid w:val="00E71323"/>
    <w:rsid w:val="00E725D8"/>
    <w:rsid w:val="00E7707A"/>
    <w:rsid w:val="00E80337"/>
    <w:rsid w:val="00E84D47"/>
    <w:rsid w:val="00EA443B"/>
    <w:rsid w:val="00EC05FA"/>
    <w:rsid w:val="00ED7D1A"/>
    <w:rsid w:val="00EE659E"/>
    <w:rsid w:val="00F02567"/>
    <w:rsid w:val="00F05189"/>
    <w:rsid w:val="00F31FE0"/>
    <w:rsid w:val="00F5131F"/>
    <w:rsid w:val="00F722EA"/>
    <w:rsid w:val="00F72C70"/>
    <w:rsid w:val="00F74EE3"/>
    <w:rsid w:val="00F758A5"/>
    <w:rsid w:val="00F84E02"/>
    <w:rsid w:val="00F859C0"/>
    <w:rsid w:val="00F926A8"/>
    <w:rsid w:val="00FC0287"/>
    <w:rsid w:val="00FE0227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4DDB-4B38-4C92-AE31-04EC76DB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James Disanza</cp:lastModifiedBy>
  <cp:revision>2</cp:revision>
  <cp:lastPrinted>2020-03-26T18:54:00Z</cp:lastPrinted>
  <dcterms:created xsi:type="dcterms:W3CDTF">2022-05-19T19:24:00Z</dcterms:created>
  <dcterms:modified xsi:type="dcterms:W3CDTF">2022-05-19T19:24:00Z</dcterms:modified>
</cp:coreProperties>
</file>