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C1099D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A.S., Mathematics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D83533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D83533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C1099D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A.S., Mathematics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D83533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D83533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2152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E67D37" w:rsidRDefault="00C1099D" w:rsidP="00C1099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0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  <w:vAlign w:val="center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2152" w:type="dxa"/>
            <w:vAlign w:val="center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E67D37" w:rsidRDefault="00C1099D" w:rsidP="00C1099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  <w:vAlign w:val="center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  <w:vAlign w:val="center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E67D37" w:rsidRDefault="00C1099D" w:rsidP="00C1099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GE</w:t>
            </w:r>
          </w:p>
        </w:tc>
        <w:tc>
          <w:tcPr>
            <w:tcW w:w="810" w:type="dxa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C1099D" w:rsidTr="00AB03E3">
        <w:tc>
          <w:tcPr>
            <w:tcW w:w="4081" w:type="dxa"/>
          </w:tcPr>
          <w:p w:rsidR="00C1099D" w:rsidRPr="0023312B" w:rsidRDefault="00C1099D" w:rsidP="00C1099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194BA6" w:rsidRDefault="00C1099D" w:rsidP="00C1099D">
            <w:pPr>
              <w:rPr>
                <w:sz w:val="16"/>
                <w:szCs w:val="16"/>
              </w:rPr>
            </w:pPr>
            <w:r w:rsidRPr="00DB778D">
              <w:rPr>
                <w:sz w:val="16"/>
                <w:szCs w:val="16"/>
                <w:highlight w:val="green"/>
              </w:rPr>
              <w:t>Math 1175 Calculus II</w:t>
            </w:r>
          </w:p>
        </w:tc>
        <w:tc>
          <w:tcPr>
            <w:tcW w:w="436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0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52" w:type="dxa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194BA6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52" w:type="dxa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194BA6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CS 1181 Intro to CS &amp; Programming I</w:t>
            </w:r>
          </w:p>
        </w:tc>
        <w:tc>
          <w:tcPr>
            <w:tcW w:w="436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099D" w:rsidRPr="00E67D37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52" w:type="dxa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2152" w:type="dxa"/>
          </w:tcPr>
          <w:p w:rsidR="00C1099D" w:rsidRPr="00E67D37" w:rsidRDefault="00C1099D" w:rsidP="00C109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C1099D" w:rsidTr="00AB03E3">
        <w:tc>
          <w:tcPr>
            <w:tcW w:w="4081" w:type="dxa"/>
          </w:tcPr>
          <w:p w:rsidR="00C1099D" w:rsidRPr="0023312B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C1099D" w:rsidTr="00964D75">
        <w:tc>
          <w:tcPr>
            <w:tcW w:w="4081" w:type="dxa"/>
          </w:tcPr>
          <w:p w:rsidR="00C1099D" w:rsidRPr="00194BA6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</w:tcPr>
          <w:p w:rsidR="00C1099D" w:rsidRPr="00D42DE8" w:rsidRDefault="00C1099D" w:rsidP="00C1099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DB778D" w:rsidRDefault="00C1099D" w:rsidP="00C1099D">
            <w:pPr>
              <w:rPr>
                <w:sz w:val="16"/>
                <w:szCs w:val="16"/>
                <w:highlight w:val="yellow"/>
              </w:rPr>
            </w:pPr>
            <w:r w:rsidRPr="00DB778D">
              <w:rPr>
                <w:sz w:val="16"/>
                <w:szCs w:val="16"/>
                <w:highlight w:val="green"/>
              </w:rPr>
              <w:t>Math 2287 Foundations of Mathematics</w:t>
            </w:r>
          </w:p>
        </w:tc>
        <w:tc>
          <w:tcPr>
            <w:tcW w:w="436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52" w:type="dxa"/>
          </w:tcPr>
          <w:p w:rsidR="00C1099D" w:rsidRPr="00D42DE8" w:rsidRDefault="00C1099D" w:rsidP="00C1099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1170</w:t>
            </w: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rPr>
          <w:trHeight w:val="110"/>
        </w:trPr>
        <w:tc>
          <w:tcPr>
            <w:tcW w:w="4081" w:type="dxa"/>
          </w:tcPr>
          <w:p w:rsidR="00C1099D" w:rsidRPr="00194BA6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</w:tcPr>
          <w:p w:rsidR="00C1099D" w:rsidRPr="00D42DE8" w:rsidRDefault="00C1099D" w:rsidP="00C109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194BA6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36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</w:tcPr>
          <w:p w:rsidR="00C1099D" w:rsidRPr="00D42DE8" w:rsidRDefault="00C1099D" w:rsidP="00C109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194BA6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1099D" w:rsidRPr="00194BA6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C1099D" w:rsidRPr="00194BA6" w:rsidRDefault="00C1099D" w:rsidP="00C109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23312B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292C65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3 credit course at 3000- or 4000-level in MATH</w:t>
            </w:r>
          </w:p>
        </w:tc>
        <w:tc>
          <w:tcPr>
            <w:tcW w:w="436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292C65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292C65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36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292C65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436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52" w:type="dxa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292C65" w:rsidRDefault="00C1099D" w:rsidP="00C1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1099D" w:rsidRPr="00292C65" w:rsidRDefault="00C1099D" w:rsidP="00C109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FFFFF" w:themeFill="background1"/>
            <w:vAlign w:val="bottom"/>
          </w:tcPr>
          <w:p w:rsidR="00C1099D" w:rsidRPr="00AE7434" w:rsidRDefault="00C1099D" w:rsidP="00C1099D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FFFFF" w:themeFill="background1"/>
          </w:tcPr>
          <w:p w:rsidR="00C1099D" w:rsidRPr="0023312B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1099D" w:rsidRPr="0023312B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23312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vAlign w:val="bottom"/>
          </w:tcPr>
          <w:p w:rsidR="00C1099D" w:rsidRPr="00AE7434" w:rsidRDefault="00C1099D" w:rsidP="00C1099D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vAlign w:val="bottom"/>
          </w:tcPr>
          <w:p w:rsidR="00C1099D" w:rsidRPr="00AE7434" w:rsidRDefault="00C1099D" w:rsidP="00C1099D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8467CB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B2548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B2548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1099D" w:rsidRPr="00AE7434" w:rsidRDefault="00C1099D" w:rsidP="00C1099D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vAlign w:val="bottom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vAlign w:val="bottom"/>
          </w:tcPr>
          <w:p w:rsidR="00C1099D" w:rsidRPr="00AE7434" w:rsidRDefault="00C1099D" w:rsidP="00C1099D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783E53" w:rsidRDefault="00C1099D" w:rsidP="00C1099D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B2548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1099D" w:rsidRPr="00AE7434" w:rsidRDefault="00C1099D" w:rsidP="00C1099D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C1099D" w:rsidRPr="00AB2548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1099D" w:rsidRPr="00AE7434" w:rsidRDefault="00C1099D" w:rsidP="00C1099D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C1099D" w:rsidRPr="00AE7434" w:rsidRDefault="00C1099D" w:rsidP="00C1099D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783E53" w:rsidRDefault="00C1099D" w:rsidP="00C1099D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783E53" w:rsidRDefault="00C1099D" w:rsidP="00C1099D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</w:tcPr>
          <w:p w:rsidR="00C1099D" w:rsidRPr="00AE7434" w:rsidRDefault="00C1099D" w:rsidP="00C1099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C1099D" w:rsidRPr="00783E53" w:rsidRDefault="00C1099D" w:rsidP="00C1099D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4081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1099D" w:rsidRPr="00AE7434" w:rsidRDefault="00C1099D" w:rsidP="00C109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1099D" w:rsidTr="00AB03E3">
        <w:tc>
          <w:tcPr>
            <w:tcW w:w="11178" w:type="dxa"/>
            <w:gridSpan w:val="7"/>
          </w:tcPr>
          <w:p w:rsidR="00C1099D" w:rsidRPr="00943870" w:rsidRDefault="00C1099D" w:rsidP="00C1099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1099D" w:rsidRPr="00C04A5A" w:rsidRDefault="00C1099D" w:rsidP="00C1099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66"/>
        <w:gridCol w:w="513"/>
        <w:gridCol w:w="2097"/>
        <w:gridCol w:w="180"/>
        <w:gridCol w:w="79"/>
        <w:gridCol w:w="821"/>
      </w:tblGrid>
      <w:tr w:rsidR="004A4841" w:rsidRPr="00B60C98" w:rsidTr="004A4841">
        <w:tc>
          <w:tcPr>
            <w:tcW w:w="11155" w:type="dxa"/>
            <w:gridSpan w:val="8"/>
            <w:shd w:val="clear" w:color="auto" w:fill="FFFFFF" w:themeFill="background1"/>
            <w:vAlign w:val="center"/>
          </w:tcPr>
          <w:p w:rsidR="004A4841" w:rsidRPr="004A4841" w:rsidRDefault="004A4841" w:rsidP="00C1099D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0C98" w:rsidRPr="00B60C98" w:rsidTr="00CF1607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56" w:type="dxa"/>
            <w:gridSpan w:val="4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CF1607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3546D" w:rsidRPr="00CC6383" w:rsidRDefault="00CF1607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or 14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CF1607">
        <w:tc>
          <w:tcPr>
            <w:tcW w:w="4585" w:type="dxa"/>
            <w:shd w:val="clear" w:color="auto" w:fill="auto"/>
          </w:tcPr>
          <w:p w:rsidR="0053546D" w:rsidRPr="00CC6383" w:rsidRDefault="004768F6" w:rsidP="005354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 A</w:t>
            </w:r>
          </w:p>
        </w:tc>
        <w:tc>
          <w:tcPr>
            <w:tcW w:w="914" w:type="dxa"/>
            <w:shd w:val="clear" w:color="auto" w:fill="auto"/>
          </w:tcPr>
          <w:p w:rsidR="0053546D" w:rsidRPr="00CC6383" w:rsidRDefault="00D46EFF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46EFF" w:rsidRPr="00B60C98" w:rsidTr="00CF1607">
        <w:tc>
          <w:tcPr>
            <w:tcW w:w="5499" w:type="dxa"/>
            <w:gridSpan w:val="2"/>
            <w:shd w:val="clear" w:color="auto" w:fill="auto"/>
          </w:tcPr>
          <w:p w:rsidR="00D46EFF" w:rsidRPr="00CC6383" w:rsidRDefault="00D46EFF" w:rsidP="00D46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1123 Math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inModern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Society                     </w:t>
            </w:r>
            <w:r>
              <w:rPr>
                <w:sz w:val="18"/>
                <w:szCs w:val="18"/>
              </w:rPr>
              <w:t>(Counted in Objective 3</w:t>
            </w:r>
            <w:r w:rsidRPr="00201BA1">
              <w:rPr>
                <w:sz w:val="18"/>
                <w:szCs w:val="18"/>
              </w:rPr>
              <w:t>)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D46EFF" w:rsidRPr="000F050D" w:rsidRDefault="00D46EFF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D46EFF" w:rsidRPr="000F050D" w:rsidRDefault="00D46EFF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CF1607">
        <w:trPr>
          <w:trHeight w:val="248"/>
        </w:trPr>
        <w:tc>
          <w:tcPr>
            <w:tcW w:w="4585" w:type="dxa"/>
            <w:shd w:val="clear" w:color="auto" w:fill="auto"/>
          </w:tcPr>
          <w:p w:rsidR="0053546D" w:rsidRPr="00CC6383" w:rsidRDefault="004768F6" w:rsidP="005354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1127 The language of Math</w:t>
            </w:r>
          </w:p>
        </w:tc>
        <w:tc>
          <w:tcPr>
            <w:tcW w:w="914" w:type="dxa"/>
          </w:tcPr>
          <w:p w:rsidR="0053546D" w:rsidRPr="00CC6383" w:rsidRDefault="00D46EFF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 w:rsidR="00CF1607">
              <w:rPr>
                <w:rFonts w:cstheme="minorHAnsi"/>
                <w:sz w:val="18"/>
                <w:szCs w:val="18"/>
              </w:rPr>
              <w:t xml:space="preserve"> min)         </w:t>
            </w:r>
            <w:r w:rsidR="002235E1">
              <w:rPr>
                <w:rFonts w:cstheme="minorHAnsi"/>
                <w:sz w:val="18"/>
                <w:szCs w:val="18"/>
              </w:rPr>
              <w:t xml:space="preserve"> </w:t>
            </w:r>
            <w:r w:rsidR="001D2220">
              <w:rPr>
                <w:rFonts w:cstheme="minorHAnsi"/>
                <w:sz w:val="18"/>
                <w:szCs w:val="18"/>
              </w:rPr>
              <w:t>MATH</w:t>
            </w:r>
            <w:r w:rsidR="00D46EFF">
              <w:rPr>
                <w:rFonts w:cstheme="minorHAnsi"/>
                <w:sz w:val="18"/>
                <w:szCs w:val="18"/>
              </w:rPr>
              <w:t xml:space="preserve"> 1123 or MATH 1170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53546D" w:rsidRPr="000F050D" w:rsidRDefault="00D46EFF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or 4</w:t>
            </w:r>
          </w:p>
        </w:tc>
      </w:tr>
      <w:tr w:rsidR="0053546D" w:rsidRPr="00B60C98" w:rsidTr="00CF1607">
        <w:trPr>
          <w:trHeight w:val="248"/>
        </w:trPr>
        <w:tc>
          <w:tcPr>
            <w:tcW w:w="4585" w:type="dxa"/>
            <w:shd w:val="clear" w:color="auto" w:fill="auto"/>
          </w:tcPr>
          <w:p w:rsidR="0053546D" w:rsidRPr="00CC6383" w:rsidRDefault="004768F6" w:rsidP="005354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1130 Finite Mathematics</w:t>
            </w:r>
          </w:p>
        </w:tc>
        <w:tc>
          <w:tcPr>
            <w:tcW w:w="914" w:type="dxa"/>
          </w:tcPr>
          <w:p w:rsidR="0053546D" w:rsidRPr="00CC6383" w:rsidRDefault="00D46EFF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53546D" w:rsidRPr="00B60C98" w:rsidTr="00CF1607">
        <w:trPr>
          <w:trHeight w:val="248"/>
        </w:trPr>
        <w:tc>
          <w:tcPr>
            <w:tcW w:w="4585" w:type="dxa"/>
            <w:shd w:val="clear" w:color="auto" w:fill="auto"/>
          </w:tcPr>
          <w:p w:rsidR="0053546D" w:rsidRPr="00CC6383" w:rsidRDefault="004768F6" w:rsidP="005354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1144 Trigonometry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53546D" w:rsidRPr="00CC6383" w:rsidRDefault="00D46EFF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53546D" w:rsidRPr="000F050D" w:rsidRDefault="0053546D" w:rsidP="0053546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53546D" w:rsidRPr="00B60C98" w:rsidTr="00CF1607">
        <w:trPr>
          <w:trHeight w:val="247"/>
        </w:trPr>
        <w:tc>
          <w:tcPr>
            <w:tcW w:w="4585" w:type="dxa"/>
            <w:shd w:val="clear" w:color="auto" w:fill="auto"/>
          </w:tcPr>
          <w:p w:rsidR="0053546D" w:rsidRPr="00CC6383" w:rsidRDefault="004768F6" w:rsidP="005354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1160 Survey of Calculus</w:t>
            </w:r>
          </w:p>
        </w:tc>
        <w:tc>
          <w:tcPr>
            <w:tcW w:w="914" w:type="dxa"/>
          </w:tcPr>
          <w:p w:rsidR="0053546D" w:rsidRPr="00CC6383" w:rsidRDefault="00D46EFF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53546D" w:rsidRPr="000F050D" w:rsidRDefault="0053546D" w:rsidP="0053546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53546D" w:rsidRPr="000F050D" w:rsidRDefault="0053546D" w:rsidP="0053546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3775E6" w:rsidRPr="00B60C98" w:rsidTr="00CF1607">
        <w:tc>
          <w:tcPr>
            <w:tcW w:w="4585" w:type="dxa"/>
            <w:shd w:val="clear" w:color="auto" w:fill="auto"/>
          </w:tcPr>
          <w:p w:rsidR="003775E6" w:rsidRPr="00CC6383" w:rsidRDefault="004768F6" w:rsidP="003775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1153 Statistical Reasoning</w:t>
            </w:r>
          </w:p>
        </w:tc>
        <w:tc>
          <w:tcPr>
            <w:tcW w:w="914" w:type="dxa"/>
          </w:tcPr>
          <w:p w:rsidR="003775E6" w:rsidRPr="00CC6383" w:rsidRDefault="00D46EFF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3775E6" w:rsidRPr="000F050D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46EFF" w:rsidRPr="00B60C98" w:rsidTr="00CF1607">
        <w:tc>
          <w:tcPr>
            <w:tcW w:w="5499" w:type="dxa"/>
            <w:gridSpan w:val="2"/>
            <w:shd w:val="clear" w:color="auto" w:fill="auto"/>
          </w:tcPr>
          <w:p w:rsidR="00D46EFF" w:rsidRPr="00CC6383" w:rsidRDefault="00D46EFF" w:rsidP="000F050D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CS 1</w:t>
            </w:r>
            <w:r>
              <w:rPr>
                <w:sz w:val="18"/>
                <w:szCs w:val="18"/>
              </w:rPr>
              <w:t xml:space="preserve">181 </w:t>
            </w:r>
            <w:r w:rsidRPr="00201BA1">
              <w:rPr>
                <w:sz w:val="18"/>
                <w:szCs w:val="18"/>
              </w:rPr>
              <w:t>Comp</w:t>
            </w:r>
            <w:r>
              <w:rPr>
                <w:sz w:val="18"/>
                <w:szCs w:val="18"/>
              </w:rPr>
              <w:t xml:space="preserve"> </w:t>
            </w:r>
            <w:r w:rsidRPr="00201BA1">
              <w:rPr>
                <w:sz w:val="18"/>
                <w:szCs w:val="18"/>
              </w:rPr>
              <w:t>Sci</w:t>
            </w:r>
            <w:r>
              <w:rPr>
                <w:sz w:val="18"/>
                <w:szCs w:val="18"/>
              </w:rPr>
              <w:t>ence</w:t>
            </w:r>
            <w:r w:rsidRPr="00201BA1">
              <w:rPr>
                <w:sz w:val="18"/>
                <w:szCs w:val="18"/>
              </w:rPr>
              <w:t xml:space="preserve"> &amp; Programming I </w:t>
            </w:r>
            <w:r>
              <w:rPr>
                <w:sz w:val="18"/>
                <w:szCs w:val="18"/>
              </w:rPr>
              <w:t xml:space="preserve">            (Counted in Objective 7</w:t>
            </w:r>
            <w:r w:rsidRPr="00201BA1">
              <w:rPr>
                <w:sz w:val="18"/>
                <w:szCs w:val="18"/>
              </w:rPr>
              <w:t>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D46EFF" w:rsidRPr="000F050D" w:rsidRDefault="00D46EFF" w:rsidP="000F05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D46EFF" w:rsidRPr="000F050D" w:rsidRDefault="00D46EFF" w:rsidP="000F05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D46EFF" w:rsidRPr="00B60C98" w:rsidTr="00CF1607">
        <w:trPr>
          <w:trHeight w:val="248"/>
        </w:trPr>
        <w:tc>
          <w:tcPr>
            <w:tcW w:w="4585" w:type="dxa"/>
            <w:shd w:val="clear" w:color="auto" w:fill="auto"/>
          </w:tcPr>
          <w:p w:rsidR="00D46EFF" w:rsidRPr="00B60C98" w:rsidRDefault="00D46EFF" w:rsidP="00D46EF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Track B</w:t>
            </w:r>
            <w:r w:rsidRPr="004A3F17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14" w:type="dxa"/>
            <w:shd w:val="clear" w:color="auto" w:fill="auto"/>
          </w:tcPr>
          <w:p w:rsidR="00D46EFF" w:rsidRPr="00CE7B66" w:rsidRDefault="00CF1607" w:rsidP="00D46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D46EFF" w:rsidRPr="000F050D" w:rsidRDefault="00D46EFF" w:rsidP="00D46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D46EFF" w:rsidRPr="000F050D" w:rsidRDefault="00D46EFF" w:rsidP="00D46EF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D6375E">
        <w:trPr>
          <w:trHeight w:val="257"/>
        </w:trPr>
        <w:tc>
          <w:tcPr>
            <w:tcW w:w="5499" w:type="dxa"/>
            <w:gridSpan w:val="2"/>
            <w:shd w:val="clear" w:color="auto" w:fill="auto"/>
            <w:vAlign w:val="bottom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</w:t>
            </w:r>
            <w:r>
              <w:rPr>
                <w:rFonts w:ascii="Calibri" w:hAnsi="Calibri"/>
                <w:sz w:val="20"/>
                <w:szCs w:val="20"/>
              </w:rPr>
              <w:t xml:space="preserve">70 Calculus I    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>
              <w:rPr>
                <w:sz w:val="18"/>
                <w:szCs w:val="18"/>
              </w:rPr>
              <w:t>(Counted in Objective 3</w:t>
            </w:r>
            <w:r w:rsidRPr="00201BA1">
              <w:rPr>
                <w:sz w:val="18"/>
                <w:szCs w:val="18"/>
              </w:rPr>
              <w:t>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CF1607" w:rsidRPr="000F050D" w:rsidRDefault="00CF1607" w:rsidP="00D46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CF1607" w:rsidRPr="000F050D" w:rsidRDefault="00CF1607" w:rsidP="00D46EF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D46EFF" w:rsidRPr="00B60C98" w:rsidTr="00CF1607">
        <w:trPr>
          <w:trHeight w:val="70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EFF" w:rsidRPr="004A3F17" w:rsidRDefault="00D46EFF" w:rsidP="00D46E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1175 Calculus II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46EFF" w:rsidRPr="00B60C98" w:rsidRDefault="00D46EFF" w:rsidP="00D4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D46EFF" w:rsidRPr="000F050D" w:rsidRDefault="00D46EFF" w:rsidP="00D46E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D46EFF" w:rsidRPr="00B60C98" w:rsidTr="00CF1607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FF" w:rsidRPr="004A3F17" w:rsidRDefault="00D46EFF" w:rsidP="00D46E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2275 Calculus III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</w:tcPr>
          <w:p w:rsidR="00D46EFF" w:rsidRPr="00B60C98" w:rsidRDefault="00D46EFF" w:rsidP="00D4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D46EFF" w:rsidRPr="00B60C98" w:rsidRDefault="00D46EFF" w:rsidP="00D46E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D46EFF" w:rsidRPr="00B60C98" w:rsidRDefault="00D46EFF" w:rsidP="00D46EFF">
            <w:pPr>
              <w:jc w:val="center"/>
              <w:rPr>
                <w:sz w:val="18"/>
                <w:szCs w:val="18"/>
              </w:rPr>
            </w:pPr>
          </w:p>
        </w:tc>
      </w:tr>
      <w:tr w:rsidR="00CF1607" w:rsidRPr="00B60C98" w:rsidTr="00CF1607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607" w:rsidRPr="00CE7B66" w:rsidRDefault="00CF1607" w:rsidP="00CF1607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2287 Foundations of Mathematics</w:t>
            </w:r>
          </w:p>
        </w:tc>
        <w:tc>
          <w:tcPr>
            <w:tcW w:w="914" w:type="dxa"/>
            <w:vAlign w:val="bottom"/>
          </w:tcPr>
          <w:p w:rsidR="00CF1607" w:rsidRPr="00CE7B66" w:rsidRDefault="00CF1607" w:rsidP="00CF16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0D5D9F">
        <w:tc>
          <w:tcPr>
            <w:tcW w:w="5499" w:type="dxa"/>
            <w:gridSpan w:val="2"/>
            <w:shd w:val="clear" w:color="auto" w:fill="auto"/>
          </w:tcPr>
          <w:p w:rsidR="00CF1607" w:rsidRPr="00B60C98" w:rsidRDefault="00CF1607" w:rsidP="00CF1607">
            <w:pPr>
              <w:jc w:val="center"/>
              <w:rPr>
                <w:sz w:val="20"/>
                <w:szCs w:val="20"/>
              </w:rPr>
            </w:pPr>
            <w:r w:rsidRPr="00201BA1">
              <w:rPr>
                <w:sz w:val="18"/>
                <w:szCs w:val="18"/>
              </w:rPr>
              <w:t>CS 1</w:t>
            </w:r>
            <w:r>
              <w:rPr>
                <w:sz w:val="18"/>
                <w:szCs w:val="18"/>
              </w:rPr>
              <w:t xml:space="preserve">181 </w:t>
            </w:r>
            <w:r w:rsidRPr="00201BA1">
              <w:rPr>
                <w:sz w:val="18"/>
                <w:szCs w:val="18"/>
              </w:rPr>
              <w:t>Comp</w:t>
            </w:r>
            <w:r>
              <w:rPr>
                <w:sz w:val="18"/>
                <w:szCs w:val="18"/>
              </w:rPr>
              <w:t xml:space="preserve"> </w:t>
            </w:r>
            <w:r w:rsidRPr="00201BA1">
              <w:rPr>
                <w:sz w:val="18"/>
                <w:szCs w:val="18"/>
              </w:rPr>
              <w:t>Sci</w:t>
            </w:r>
            <w:r>
              <w:rPr>
                <w:sz w:val="18"/>
                <w:szCs w:val="18"/>
              </w:rPr>
              <w:t>ence</w:t>
            </w:r>
            <w:r w:rsidRPr="00201BA1">
              <w:rPr>
                <w:sz w:val="18"/>
                <w:szCs w:val="18"/>
              </w:rPr>
              <w:t xml:space="preserve"> &amp; Programming I </w:t>
            </w:r>
            <w:r>
              <w:rPr>
                <w:sz w:val="18"/>
                <w:szCs w:val="18"/>
              </w:rPr>
              <w:t xml:space="preserve">            (Counted in Objective 7</w:t>
            </w:r>
            <w:r w:rsidRPr="00201BA1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CF1607" w:rsidRPr="003775E6" w:rsidRDefault="00CF1607" w:rsidP="00CF1607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277" w:type="dxa"/>
            <w:gridSpan w:val="2"/>
            <w:vMerge w:val="restart"/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 1181</w:t>
            </w:r>
          </w:p>
        </w:tc>
        <w:tc>
          <w:tcPr>
            <w:tcW w:w="90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  <w:vAlign w:val="bottom"/>
          </w:tcPr>
          <w:p w:rsidR="00CF1607" w:rsidRPr="00CE7B66" w:rsidRDefault="00CF1607" w:rsidP="00CF16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</w:tcPr>
          <w:p w:rsidR="00CF1607" w:rsidRPr="00CE7B66" w:rsidRDefault="00CF1607" w:rsidP="00CF16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277" w:type="dxa"/>
            <w:gridSpan w:val="2"/>
            <w:vMerge/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CF1607">
        <w:tc>
          <w:tcPr>
            <w:tcW w:w="4585" w:type="dxa"/>
            <w:shd w:val="clear" w:color="auto" w:fill="auto"/>
          </w:tcPr>
          <w:p w:rsidR="00CF1607" w:rsidRPr="00B60C98" w:rsidRDefault="00CF1607" w:rsidP="00CF1607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F1607" w:rsidRPr="00CE7B66" w:rsidRDefault="00CF1607" w:rsidP="00CF1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  <w:vAlign w:val="bottom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CF1607">
        <w:tc>
          <w:tcPr>
            <w:tcW w:w="4585" w:type="dxa"/>
            <w:shd w:val="clear" w:color="auto" w:fill="auto"/>
            <w:vAlign w:val="bottom"/>
          </w:tcPr>
          <w:p w:rsidR="00CF1607" w:rsidRPr="004A3F17" w:rsidRDefault="00CF1607" w:rsidP="00CF16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</w:tcPr>
          <w:p w:rsidR="00CF1607" w:rsidRPr="00B60C98" w:rsidRDefault="00CF1607" w:rsidP="00CF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  <w:vAlign w:val="bottom"/>
          </w:tcPr>
          <w:p w:rsidR="00CF1607" w:rsidRPr="004A3F17" w:rsidRDefault="00CF1607" w:rsidP="00CF16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</w:tcPr>
          <w:p w:rsidR="00CF1607" w:rsidRPr="00B60C98" w:rsidRDefault="00CF1607" w:rsidP="00CF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CF1607">
        <w:tc>
          <w:tcPr>
            <w:tcW w:w="4585" w:type="dxa"/>
            <w:shd w:val="clear" w:color="auto" w:fill="auto"/>
            <w:vAlign w:val="bottom"/>
          </w:tcPr>
          <w:p w:rsidR="00CF1607" w:rsidRPr="004A3F17" w:rsidRDefault="00CF1607" w:rsidP="00CF16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CF1607" w:rsidRPr="00B60C98" w:rsidRDefault="00CF1607" w:rsidP="00CF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CF1607">
        <w:tc>
          <w:tcPr>
            <w:tcW w:w="4585" w:type="dxa"/>
            <w:shd w:val="clear" w:color="auto" w:fill="auto"/>
            <w:vAlign w:val="bottom"/>
          </w:tcPr>
          <w:p w:rsidR="00CF1607" w:rsidRPr="004A3F17" w:rsidRDefault="00CF1607" w:rsidP="00CF16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</w:tcPr>
          <w:p w:rsidR="00CF1607" w:rsidRPr="00B60C98" w:rsidRDefault="00CF1607" w:rsidP="00CF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</w:t>
            </w:r>
            <w:r w:rsidRPr="000F050D">
              <w:rPr>
                <w:rFonts w:cstheme="minorHAnsi"/>
                <w:sz w:val="18"/>
                <w:szCs w:val="18"/>
              </w:rPr>
              <w:t xml:space="preserve"> Total GE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 or 38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  <w:vAlign w:val="bottom"/>
          </w:tcPr>
          <w:p w:rsidR="00CF1607" w:rsidRPr="00CE7B66" w:rsidRDefault="00CF1607" w:rsidP="00CF16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4" w:type="dxa"/>
            <w:vAlign w:val="bottom"/>
          </w:tcPr>
          <w:p w:rsidR="00CF1607" w:rsidRPr="00CE7B66" w:rsidRDefault="00CF1607" w:rsidP="00CF160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CF1607">
        <w:tc>
          <w:tcPr>
            <w:tcW w:w="4585" w:type="dxa"/>
            <w:shd w:val="clear" w:color="auto" w:fill="auto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CF1607">
        <w:tc>
          <w:tcPr>
            <w:tcW w:w="4585" w:type="dxa"/>
            <w:shd w:val="clear" w:color="auto" w:fill="auto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1607" w:rsidRPr="000F050D" w:rsidRDefault="00CF1607" w:rsidP="00CF160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F1607" w:rsidRPr="000F050D" w:rsidRDefault="00CF1607" w:rsidP="00CF160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or 14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 or 38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607" w:rsidRPr="00410A4C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CF1607" w:rsidRPr="00B60C98" w:rsidTr="00CF1607">
        <w:tc>
          <w:tcPr>
            <w:tcW w:w="4585" w:type="dxa"/>
            <w:shd w:val="clear" w:color="auto" w:fill="auto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Electives to reach 6</w:t>
            </w:r>
            <w:r w:rsidRPr="000F050D">
              <w:rPr>
                <w:rFonts w:cstheme="minorHAnsi"/>
                <w:sz w:val="18"/>
                <w:szCs w:val="18"/>
              </w:rPr>
              <w:t>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 or 11</w:t>
            </w:r>
          </w:p>
        </w:tc>
      </w:tr>
      <w:tr w:rsidR="00CF1607" w:rsidRPr="00B60C98" w:rsidTr="00CF1607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CF1607" w:rsidRPr="00CC6383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CF1607" w:rsidRPr="00CC6383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CF1607" w:rsidRPr="00B60C98" w:rsidTr="00CF1607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CF1607" w:rsidRPr="00CC6383" w:rsidRDefault="00CF1607" w:rsidP="00CF1607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F1607" w:rsidRPr="003611E5" w:rsidRDefault="00CF1607" w:rsidP="00CF1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shd w:val="clear" w:color="auto" w:fill="FFFFFF" w:themeFill="background1"/>
          </w:tcPr>
          <w:p w:rsidR="00CF1607" w:rsidRPr="000F050D" w:rsidRDefault="00CF1607" w:rsidP="00CF16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CF1607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607" w:rsidRPr="00CC6383" w:rsidRDefault="00CF1607" w:rsidP="00CF1607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CF1607" w:rsidRPr="00FC0CCE" w:rsidRDefault="00CF1607" w:rsidP="00CF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CF1607" w:rsidRPr="000F050D" w:rsidRDefault="00CF1607" w:rsidP="00CF160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ABF8F" w:themeFill="accent6" w:themeFillTint="99"/>
          </w:tcPr>
          <w:p w:rsidR="00CF1607" w:rsidRPr="000F050D" w:rsidRDefault="00CF1607" w:rsidP="00CF160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CF1607" w:rsidRPr="00B60C98" w:rsidTr="00CF1607">
        <w:trPr>
          <w:trHeight w:val="257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607" w:rsidRPr="00CC6383" w:rsidRDefault="00CF1607" w:rsidP="00CF1607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CF1607" w:rsidRPr="00FC0CCE" w:rsidRDefault="00CF1607" w:rsidP="00CF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F1607" w:rsidRPr="000F050D" w:rsidRDefault="00CF1607" w:rsidP="00CF160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F1607" w:rsidRPr="00B60C98" w:rsidTr="00CF1607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607" w:rsidRPr="00CC6383" w:rsidRDefault="00CF1607" w:rsidP="00CF1607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07" w:rsidRPr="00E078AB" w:rsidRDefault="00CF1607" w:rsidP="00CF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F1607" w:rsidRPr="000F050D" w:rsidRDefault="00CF1607" w:rsidP="00CF160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F1607" w:rsidRPr="00B60C98" w:rsidTr="00CF1607">
        <w:trPr>
          <w:trHeight w:val="248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607" w:rsidRPr="00CC6383" w:rsidRDefault="00CF1607" w:rsidP="00CF1607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CF1607" w:rsidRPr="00E078AB" w:rsidRDefault="00CF1607" w:rsidP="00CF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F1607" w:rsidRPr="000F050D" w:rsidRDefault="00CF1607" w:rsidP="00CF160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F1607" w:rsidRPr="00B60C98" w:rsidTr="00CF1607">
        <w:trPr>
          <w:trHeight w:val="247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607" w:rsidRPr="00410A4C" w:rsidRDefault="00CF1607" w:rsidP="00CF1607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CF1607" w:rsidRPr="00410A4C" w:rsidRDefault="00CF1607" w:rsidP="00CF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1607" w:rsidRPr="00410A4C" w:rsidRDefault="00CF1607" w:rsidP="00CF1607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1607" w:rsidRPr="00410A4C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F1607" w:rsidRPr="00410A4C" w:rsidRDefault="00CF1607" w:rsidP="00CF1607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F1607" w:rsidRPr="00B60C98" w:rsidTr="00CF1607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7" w:rsidRPr="00410A4C" w:rsidRDefault="00CF1607" w:rsidP="00CF1607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7" w:rsidRPr="00410A4C" w:rsidRDefault="00CF1607" w:rsidP="00CF16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1607" w:rsidRPr="00410A4C" w:rsidRDefault="00CF1607" w:rsidP="00CF160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CF1607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7" w:rsidRPr="00CC6383" w:rsidRDefault="00CF1607" w:rsidP="00CF1607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7" w:rsidRPr="00B60C98" w:rsidRDefault="00CF1607" w:rsidP="00CF1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CF1607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1607" w:rsidRPr="00B60C98" w:rsidRDefault="00CF1607" w:rsidP="00CF1607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F1607" w:rsidRPr="000F050D" w:rsidRDefault="00CF1607" w:rsidP="00CF160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F1607" w:rsidRPr="000F050D" w:rsidRDefault="00CF1607" w:rsidP="00CF1607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CF1607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607" w:rsidRPr="00D46EFF" w:rsidRDefault="00CF1607" w:rsidP="00CF1607">
            <w:pPr>
              <w:rPr>
                <w:sz w:val="18"/>
                <w:szCs w:val="18"/>
              </w:rPr>
            </w:pPr>
            <w:r w:rsidRPr="00D46EFF">
              <w:rPr>
                <w:sz w:val="18"/>
                <w:szCs w:val="18"/>
              </w:rPr>
              <w:t xml:space="preserve">1 – MATH 1144 may be waived given a sufficient score on placement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F160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607" w:rsidRPr="00D46EFF" w:rsidRDefault="00CF1607" w:rsidP="00CF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 w:rsidRPr="00D46EFF">
              <w:rPr>
                <w:sz w:val="18"/>
                <w:szCs w:val="18"/>
              </w:rPr>
              <w:t>test</w:t>
            </w:r>
            <w:proofErr w:type="gramEnd"/>
            <w:r w:rsidRPr="00D46EFF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1607" w:rsidRPr="00D46EFF" w:rsidRDefault="00CF1607" w:rsidP="00CF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F1607" w:rsidRPr="000F050D" w:rsidRDefault="00CF1607" w:rsidP="00CF1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160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1607" w:rsidRPr="00D46EFF" w:rsidRDefault="00CF1607" w:rsidP="00CF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CF1607" w:rsidRPr="004C0486" w:rsidRDefault="00CF1607" w:rsidP="00CF160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F1607" w:rsidRPr="008C01E4" w:rsidRDefault="00CF1607" w:rsidP="00CF160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F1607" w:rsidRPr="004C0486" w:rsidRDefault="00CF1607" w:rsidP="00CF160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F1607" w:rsidRDefault="00CF1607" w:rsidP="00CF160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F1607" w:rsidRPr="00B60C98" w:rsidRDefault="00CF1607" w:rsidP="00CF1607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F160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1607" w:rsidRPr="00D46EFF" w:rsidRDefault="00CF1607" w:rsidP="00CF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CF1607" w:rsidRPr="00B60C98" w:rsidRDefault="00CF1607" w:rsidP="00CF1607">
            <w:pPr>
              <w:rPr>
                <w:sz w:val="20"/>
                <w:szCs w:val="20"/>
              </w:rPr>
            </w:pPr>
          </w:p>
        </w:tc>
      </w:tr>
      <w:tr w:rsidR="00CF160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1607" w:rsidRPr="00D46EFF" w:rsidRDefault="00CF1607" w:rsidP="00CF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CF1607" w:rsidRPr="00B60C98" w:rsidRDefault="00CF1607" w:rsidP="00CF1607">
            <w:pPr>
              <w:rPr>
                <w:sz w:val="20"/>
                <w:szCs w:val="20"/>
              </w:rPr>
            </w:pPr>
          </w:p>
        </w:tc>
      </w:tr>
      <w:tr w:rsidR="00CF160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1607" w:rsidRPr="00D46EFF" w:rsidRDefault="00CF1607" w:rsidP="00CF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CF1607" w:rsidRPr="00B60C98" w:rsidRDefault="00CF1607" w:rsidP="00CF1607">
            <w:pPr>
              <w:rPr>
                <w:sz w:val="20"/>
                <w:szCs w:val="20"/>
              </w:rPr>
            </w:pPr>
          </w:p>
        </w:tc>
      </w:tr>
      <w:tr w:rsidR="00CF1607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F1607" w:rsidRPr="00B60C98" w:rsidRDefault="00CF1607" w:rsidP="00CF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CF1607" w:rsidRPr="00B60C98" w:rsidRDefault="00CF1607" w:rsidP="00CF1607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33" w:rsidRDefault="00D83533" w:rsidP="00E617D4">
      <w:pPr>
        <w:spacing w:after="0" w:line="240" w:lineRule="auto"/>
      </w:pPr>
      <w:r>
        <w:separator/>
      </w:r>
    </w:p>
  </w:endnote>
  <w:endnote w:type="continuationSeparator" w:id="0">
    <w:p w:rsidR="00D83533" w:rsidRDefault="00D83533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33" w:rsidRDefault="00D83533" w:rsidP="00E617D4">
      <w:pPr>
        <w:spacing w:after="0" w:line="240" w:lineRule="auto"/>
      </w:pPr>
      <w:r>
        <w:separator/>
      </w:r>
    </w:p>
  </w:footnote>
  <w:footnote w:type="continuationSeparator" w:id="0">
    <w:p w:rsidR="00D83533" w:rsidRDefault="00D83533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2B2"/>
    <w:multiLevelType w:val="hybridMultilevel"/>
    <w:tmpl w:val="3710B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D85"/>
    <w:multiLevelType w:val="hybridMultilevel"/>
    <w:tmpl w:val="9BD84CF8"/>
    <w:lvl w:ilvl="0" w:tplc="DD6C1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82E4D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68F6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A27F1"/>
    <w:rsid w:val="008B1851"/>
    <w:rsid w:val="008E0E5D"/>
    <w:rsid w:val="008F1E98"/>
    <w:rsid w:val="00927DA0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1099D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1607"/>
    <w:rsid w:val="00CF66F8"/>
    <w:rsid w:val="00D2690D"/>
    <w:rsid w:val="00D30A41"/>
    <w:rsid w:val="00D3203E"/>
    <w:rsid w:val="00D34724"/>
    <w:rsid w:val="00D42DE8"/>
    <w:rsid w:val="00D45741"/>
    <w:rsid w:val="00D46379"/>
    <w:rsid w:val="00D46EFF"/>
    <w:rsid w:val="00D53A93"/>
    <w:rsid w:val="00D54E33"/>
    <w:rsid w:val="00D639DA"/>
    <w:rsid w:val="00D83533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E4C8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15B6-2EE0-4551-91BA-1E58B35F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13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4</cp:revision>
  <cp:lastPrinted>2019-06-25T17:29:00Z</cp:lastPrinted>
  <dcterms:created xsi:type="dcterms:W3CDTF">2019-09-23T22:01:00Z</dcterms:created>
  <dcterms:modified xsi:type="dcterms:W3CDTF">2020-09-03T18:59:00Z</dcterms:modified>
</cp:coreProperties>
</file>