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5132F1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2752725</wp:posOffset>
                </wp:positionH>
                <wp:positionV relativeFrom="paragraph">
                  <wp:posOffset>-85725</wp:posOffset>
                </wp:positionV>
                <wp:extent cx="4126230" cy="53340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2F1" w:rsidRPr="00BE4066" w:rsidRDefault="005132F1" w:rsidP="005132F1">
                            <w:pPr>
                              <w:pStyle w:val="NoSpacing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9-2020</w:t>
                            </w:r>
                          </w:p>
                          <w:p w:rsidR="005132F1" w:rsidRDefault="005132F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5132F1" w:rsidRPr="00DD67D4" w:rsidRDefault="005132F1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-6.75pt;width:324.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" stroked="f">
                <v:textbox>
                  <w:txbxContent>
                    <w:p w:rsidR="005132F1" w:rsidRPr="00BE4066" w:rsidRDefault="005132F1" w:rsidP="005132F1">
                      <w:pPr>
                        <w:pStyle w:val="NoSpacing"/>
                        <w:jc w:val="center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>
                        <w:rPr>
                          <w:sz w:val="40"/>
                          <w:szCs w:val="40"/>
                        </w:rPr>
                        <w:t>9-2020</w:t>
                      </w:r>
                    </w:p>
                    <w:p w:rsidR="005132F1" w:rsidRDefault="005132F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  <w:p w:rsidR="005132F1" w:rsidRPr="00DD67D4" w:rsidRDefault="005132F1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2729865" cy="561340"/>
            <wp:effectExtent l="0" t="0" r="0" b="0"/>
            <wp:wrapNone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3781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383"/>
        <w:gridCol w:w="540"/>
        <w:gridCol w:w="720"/>
        <w:gridCol w:w="630"/>
        <w:gridCol w:w="2340"/>
        <w:gridCol w:w="2520"/>
      </w:tblGrid>
      <w:tr w:rsidR="00BD787A" w:rsidTr="005132F1">
        <w:tc>
          <w:tcPr>
            <w:tcW w:w="4045" w:type="dxa"/>
            <w:vAlign w:val="center"/>
          </w:tcPr>
          <w:p w:rsidR="008B1851" w:rsidRPr="00C17DB2" w:rsidRDefault="008B1851" w:rsidP="005132F1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383" w:type="dxa"/>
            <w:vAlign w:val="center"/>
          </w:tcPr>
          <w:p w:rsidR="008B1851" w:rsidRPr="00B60C98" w:rsidRDefault="00D86D33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340" w:type="dxa"/>
            <w:vAlign w:val="center"/>
          </w:tcPr>
          <w:p w:rsidR="008B1851" w:rsidRPr="00B60C98" w:rsidRDefault="001B04E4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520" w:type="dxa"/>
            <w:vAlign w:val="center"/>
          </w:tcPr>
          <w:p w:rsidR="008B1851" w:rsidRPr="00B60C98" w:rsidRDefault="001B04E4" w:rsidP="005132F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5132F1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5132F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E95A2B" w:rsidTr="003E03C1">
        <w:tc>
          <w:tcPr>
            <w:tcW w:w="4045" w:type="dxa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5714B">
        <w:tc>
          <w:tcPr>
            <w:tcW w:w="4045" w:type="dxa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5714B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5714B">
        <w:tc>
          <w:tcPr>
            <w:tcW w:w="4045" w:type="dxa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3E03C1">
        <w:tc>
          <w:tcPr>
            <w:tcW w:w="4045" w:type="dxa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0113: Rigging and Inspection</w:t>
            </w:r>
          </w:p>
        </w:tc>
        <w:tc>
          <w:tcPr>
            <w:tcW w:w="383" w:type="dxa"/>
            <w:vAlign w:val="center"/>
          </w:tcPr>
          <w:p w:rsidR="00E95A2B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802DC2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E84F0B">
        <w:tc>
          <w:tcPr>
            <w:tcW w:w="4045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Default="00E95A2B" w:rsidP="00E95A2B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E95A2B" w:rsidTr="000E4D57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383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292C65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383" w:type="dxa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292C65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9837A6">
        <w:tc>
          <w:tcPr>
            <w:tcW w:w="4045" w:type="dxa"/>
          </w:tcPr>
          <w:p w:rsidR="00E95A2B" w:rsidRPr="00292C65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0115: Aircraft Instruments, </w:t>
            </w:r>
            <w:proofErr w:type="spellStart"/>
            <w:r>
              <w:rPr>
                <w:sz w:val="16"/>
                <w:szCs w:val="16"/>
              </w:rPr>
              <w:t>Comm</w:t>
            </w:r>
            <w:proofErr w:type="spellEnd"/>
            <w:r>
              <w:rPr>
                <w:sz w:val="16"/>
                <w:szCs w:val="16"/>
              </w:rPr>
              <w:t>, and Navigation</w:t>
            </w:r>
          </w:p>
        </w:tc>
        <w:tc>
          <w:tcPr>
            <w:tcW w:w="383" w:type="dxa"/>
            <w:vAlign w:val="center"/>
          </w:tcPr>
          <w:p w:rsidR="00E95A2B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AD0064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292C65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34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102C82">
        <w:tc>
          <w:tcPr>
            <w:tcW w:w="4045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E67D37" w:rsidRDefault="00E95A2B" w:rsidP="00E95A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 (Summer)</w:t>
            </w:r>
          </w:p>
        </w:tc>
      </w:tr>
      <w:tr w:rsidR="00E95A2B" w:rsidTr="00C46C38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EE72D0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F3518A">
        <w:trPr>
          <w:trHeight w:val="110"/>
        </w:trPr>
        <w:tc>
          <w:tcPr>
            <w:tcW w:w="4045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</w:tcPr>
          <w:p w:rsidR="00E95A2B" w:rsidRPr="004F5667" w:rsidRDefault="00E95A2B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194BA6" w:rsidRDefault="00E95A2B" w:rsidP="00E95A2B">
            <w:pPr>
              <w:pStyle w:val="NoSpacing"/>
              <w:rPr>
                <w:sz w:val="16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E95A2B" w:rsidTr="00DA025A">
        <w:tc>
          <w:tcPr>
            <w:tcW w:w="4045" w:type="dxa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383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E95A2B" w:rsidRDefault="00E95A2B" w:rsidP="00E95A2B">
            <w:pPr>
              <w:jc w:val="center"/>
            </w:pPr>
            <w:r w:rsidRPr="001B4F17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E95A2B" w:rsidRPr="00194BA6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34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8E089F" w:rsidTr="007B44CF">
        <w:tc>
          <w:tcPr>
            <w:tcW w:w="4045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</w:tr>
      <w:tr w:rsidR="008E089F" w:rsidTr="007B44CF">
        <w:tc>
          <w:tcPr>
            <w:tcW w:w="4045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</w:tr>
      <w:tr w:rsidR="008E089F" w:rsidTr="007B44CF">
        <w:tc>
          <w:tcPr>
            <w:tcW w:w="4045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</w:tr>
      <w:tr w:rsidR="008E089F" w:rsidTr="007B44CF">
        <w:tc>
          <w:tcPr>
            <w:tcW w:w="4045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</w:tr>
      <w:tr w:rsidR="008E089F" w:rsidTr="00A35E7A">
        <w:tc>
          <w:tcPr>
            <w:tcW w:w="4045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383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5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7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63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34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</w:tcPr>
          <w:p w:rsidR="008E089F" w:rsidRPr="00D42DE8" w:rsidRDefault="008E089F" w:rsidP="008E089F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4045" w:type="dxa"/>
            <w:shd w:val="clear" w:color="auto" w:fill="F2F2F2" w:themeFill="background1" w:themeFillShade="F2"/>
          </w:tcPr>
          <w:p w:rsidR="00E95A2B" w:rsidRPr="00292C65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383" w:type="dxa"/>
            <w:shd w:val="clear" w:color="auto" w:fill="F2F2F2" w:themeFill="background1" w:themeFillShade="F2"/>
            <w:vAlign w:val="center"/>
          </w:tcPr>
          <w:p w:rsidR="00E95A2B" w:rsidRPr="004F5667" w:rsidRDefault="008E089F" w:rsidP="00E95A2B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E95A2B" w:rsidRPr="00292C65" w:rsidRDefault="00E95A2B" w:rsidP="00E95A2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2F2F2" w:themeFill="background1" w:themeFillShade="F2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:rsidR="00E95A2B" w:rsidRPr="00D42DE8" w:rsidRDefault="00E95A2B" w:rsidP="00E95A2B">
            <w:pPr>
              <w:pStyle w:val="NoSpacing"/>
              <w:rPr>
                <w:sz w:val="14"/>
                <w:szCs w:val="16"/>
              </w:rPr>
            </w:pPr>
          </w:p>
        </w:tc>
      </w:tr>
      <w:tr w:rsidR="00E95A2B" w:rsidTr="005132F1">
        <w:tc>
          <w:tcPr>
            <w:tcW w:w="11178" w:type="dxa"/>
            <w:gridSpan w:val="7"/>
            <w:shd w:val="clear" w:color="auto" w:fill="D9D9D9" w:themeFill="background1" w:themeFillShade="D9"/>
          </w:tcPr>
          <w:p w:rsidR="00E95A2B" w:rsidRPr="00292C65" w:rsidRDefault="00E95A2B" w:rsidP="00E95A2B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E95A2B" w:rsidTr="005132F1">
        <w:tc>
          <w:tcPr>
            <w:tcW w:w="11178" w:type="dxa"/>
            <w:gridSpan w:val="7"/>
          </w:tcPr>
          <w:p w:rsidR="00E95A2B" w:rsidRPr="00943870" w:rsidRDefault="00E95A2B" w:rsidP="00E95A2B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E95A2B" w:rsidRDefault="00E95A2B" w:rsidP="00E95A2B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E95A2B" w:rsidRPr="00C04A5A" w:rsidRDefault="00E95A2B" w:rsidP="00E95A2B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5132F1" w:rsidRDefault="005132F1" w:rsidP="002D4F2A">
      <w:pPr>
        <w:pStyle w:val="NoSpacing"/>
      </w:pPr>
    </w:p>
    <w:p w:rsidR="005132F1" w:rsidRPr="00925B6C" w:rsidRDefault="00756D82" w:rsidP="005132F1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Intermediate</w:t>
      </w:r>
      <w:r w:rsidR="00E95A2B">
        <w:rPr>
          <w:rFonts w:ascii="Calibri" w:eastAsia="Times New Roman" w:hAnsi="Calibri" w:cs="Times New Roman"/>
          <w:color w:val="000000"/>
          <w:sz w:val="32"/>
          <w:szCs w:val="32"/>
        </w:rPr>
        <w:t xml:space="preserve"> T</w:t>
      </w:r>
      <w:r w:rsidR="00761032">
        <w:rPr>
          <w:rFonts w:ascii="Calibri" w:eastAsia="Times New Roman" w:hAnsi="Calibri" w:cs="Times New Roman"/>
          <w:color w:val="000000"/>
          <w:sz w:val="32"/>
          <w:szCs w:val="32"/>
        </w:rPr>
        <w:t>echnical Certificate: Airframe</w:t>
      </w:r>
      <w:bookmarkStart w:id="0" w:name="_GoBack"/>
      <w:bookmarkEnd w:id="0"/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1E0A72" w:rsidP="002D4F2A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-6350</wp:posOffset>
                </wp:positionH>
                <wp:positionV relativeFrom="paragraph">
                  <wp:posOffset>21751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margin-left:-.5pt;margin-top:1.7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+Xow44AAAAAk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5132F1" w:rsidRDefault="005132F1" w:rsidP="002D4F2A">
      <w:pPr>
        <w:pStyle w:val="NoSpacing"/>
      </w:pPr>
    </w:p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EB5457" w:rsidRPr="00B60C98" w:rsidTr="00D30A41">
        <w:tc>
          <w:tcPr>
            <w:tcW w:w="4885" w:type="dxa"/>
            <w:shd w:val="clear" w:color="auto" w:fill="F2F2F2" w:themeFill="background1" w:themeFillShade="F2"/>
            <w:vAlign w:val="center"/>
          </w:tcPr>
          <w:p w:rsidR="00EB5457" w:rsidRPr="00B60C98" w:rsidRDefault="001E0A72" w:rsidP="00EB54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EB5457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Satisfy 1, 2, 3, 6 and 3 cr. from 4, 5, 7 or 8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EB5457" w:rsidRDefault="00E95A2B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 </w:t>
            </w:r>
            <w:r w:rsidR="00EB5457">
              <w:rPr>
                <w:b/>
                <w:sz w:val="18"/>
                <w:szCs w:val="18"/>
              </w:rPr>
              <w:t>Cr.</w:t>
            </w:r>
          </w:p>
          <w:p w:rsidR="00EB5457" w:rsidRPr="00B60C98" w:rsidRDefault="00EB5457" w:rsidP="00EB54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E95A2B" w:rsidRPr="00B60C98" w:rsidTr="00D30A41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:rsidR="00E95A2B" w:rsidRPr="00D451FC" w:rsidRDefault="00E95A2B" w:rsidP="00E95A2B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:rsidR="00E95A2B" w:rsidRPr="00B70CB3" w:rsidRDefault="008E089F" w:rsidP="00E95A2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0100: Introduction to Aircraft and Aerodynamics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14" w:type="dxa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14" w:type="dxa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Pr="00E67D37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14" w:type="dxa"/>
            <w:vAlign w:val="center"/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0108: Basic Electricity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7"/>
        </w:trPr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0109: Fluid Systems</w:t>
            </w:r>
          </w:p>
        </w:tc>
        <w:tc>
          <w:tcPr>
            <w:tcW w:w="614" w:type="dxa"/>
            <w:vAlign w:val="center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0110: Landing Gear Systems</w:t>
            </w:r>
          </w:p>
        </w:tc>
        <w:tc>
          <w:tcPr>
            <w:tcW w:w="614" w:type="dxa"/>
            <w:vAlign w:val="center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B16733"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0111: Auxiliary Systems</w:t>
            </w:r>
          </w:p>
        </w:tc>
        <w:tc>
          <w:tcPr>
            <w:tcW w:w="614" w:type="dxa"/>
            <w:vAlign w:val="center"/>
          </w:tcPr>
          <w:p w:rsidR="00E95A2B" w:rsidRPr="00A94BA2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B16733">
        <w:trPr>
          <w:trHeight w:val="248"/>
        </w:trPr>
        <w:tc>
          <w:tcPr>
            <w:tcW w:w="4885" w:type="dxa"/>
            <w:shd w:val="clear" w:color="auto" w:fill="auto"/>
          </w:tcPr>
          <w:p w:rsidR="00E95A2B" w:rsidRPr="003356C4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Aircraft Electrical Systems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E95A2B" w:rsidRPr="00A94BA2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95A2B" w:rsidRDefault="00E95A2B" w:rsidP="00E95A2B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0113: Rigging and Inspections 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0114: Metallic Structures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A2B" w:rsidRPr="00194BA6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0115: Aircraft Instruments, Communications, and Navigation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:rsidR="00E95A2B" w:rsidRPr="005D53FC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E95A2B" w:rsidRPr="00B60C98" w:rsidTr="00D30A41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:rsidR="00E95A2B" w:rsidRDefault="00E95A2B" w:rsidP="00E95A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0116: Non-Metallic Structures</w:t>
            </w:r>
          </w:p>
        </w:tc>
        <w:tc>
          <w:tcPr>
            <w:tcW w:w="614" w:type="dxa"/>
          </w:tcPr>
          <w:p w:rsidR="00E95A2B" w:rsidRDefault="00E95A2B" w:rsidP="00E95A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E95A2B" w:rsidRDefault="00E95A2B" w:rsidP="00E95A2B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E95A2B" w:rsidRDefault="00E95A2B" w:rsidP="00E95A2B">
            <w:pPr>
              <w:jc w:val="right"/>
              <w:rPr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8E089F" w:rsidRDefault="008E089F" w:rsidP="008E089F">
            <w:pPr>
              <w:rPr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auto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E089F" w:rsidRDefault="008E089F" w:rsidP="008E0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8E089F" w:rsidRDefault="008E089F" w:rsidP="008E089F">
            <w:pPr>
              <w:jc w:val="right"/>
              <w:rPr>
                <w:sz w:val="18"/>
                <w:szCs w:val="18"/>
              </w:rPr>
            </w:pPr>
          </w:p>
          <w:p w:rsidR="008E089F" w:rsidRDefault="008E089F" w:rsidP="008E089F">
            <w:pPr>
              <w:jc w:val="right"/>
              <w:rPr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E089F" w:rsidRPr="00B60C98" w:rsidRDefault="008E089F" w:rsidP="008E0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8E089F" w:rsidRPr="00B60C98" w:rsidRDefault="008E089F" w:rsidP="008E089F">
            <w:pPr>
              <w:rPr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E089F" w:rsidRDefault="008E089F" w:rsidP="008E089F">
            <w:pPr>
              <w:rPr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E089F" w:rsidRDefault="008E089F" w:rsidP="008E089F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8E089F" w:rsidRDefault="008E089F" w:rsidP="008E089F">
            <w:pPr>
              <w:jc w:val="right"/>
              <w:rPr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8E089F" w:rsidRDefault="008E089F" w:rsidP="008E089F">
            <w:pPr>
              <w:rPr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8E089F" w:rsidRPr="002C6294" w:rsidRDefault="008E089F" w:rsidP="008E089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E089F" w:rsidRPr="002C6294" w:rsidRDefault="008E089F" w:rsidP="008E089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E089F" w:rsidRPr="00B60C98" w:rsidRDefault="008E089F" w:rsidP="008E089F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E089F" w:rsidRPr="002C6294" w:rsidRDefault="008E089F" w:rsidP="008E089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8E089F" w:rsidRPr="00B60C98" w:rsidTr="00D30A41">
        <w:tc>
          <w:tcPr>
            <w:tcW w:w="4885" w:type="dxa"/>
            <w:shd w:val="clear" w:color="auto" w:fill="auto"/>
          </w:tcPr>
          <w:p w:rsidR="008E089F" w:rsidRPr="001F656B" w:rsidRDefault="008E089F" w:rsidP="008E089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8E089F" w:rsidRPr="001F656B" w:rsidRDefault="008E089F" w:rsidP="008E08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8E089F" w:rsidRDefault="008E089F" w:rsidP="008E089F">
            <w:pPr>
              <w:rPr>
                <w:sz w:val="18"/>
                <w:szCs w:val="18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44331A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8E089F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95A2B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457" w:rsidRPr="00B60C98" w:rsidTr="00D30A41">
        <w:tc>
          <w:tcPr>
            <w:tcW w:w="4885" w:type="dxa"/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EB5457" w:rsidRPr="00B70CB3" w:rsidRDefault="008E089F" w:rsidP="00EB54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4F5667" w:rsidRPr="00B60C98" w:rsidRDefault="004F5667" w:rsidP="004F5667">
            <w:pPr>
              <w:jc w:val="center"/>
              <w:rPr>
                <w:sz w:val="20"/>
                <w:szCs w:val="20"/>
              </w:rPr>
            </w:pPr>
          </w:p>
        </w:tc>
      </w:tr>
      <w:tr w:rsidR="004F5667" w:rsidRPr="00B60C98" w:rsidTr="00D30A41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EB5457" w:rsidRPr="00B60C98" w:rsidTr="00D30A41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 Total 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7A14D2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B5457" w:rsidRPr="00B60C98" w:rsidRDefault="00EB5457" w:rsidP="00EB5457">
            <w:pPr>
              <w:jc w:val="center"/>
              <w:rPr>
                <w:sz w:val="20"/>
                <w:szCs w:val="20"/>
              </w:rPr>
            </w:pPr>
          </w:p>
        </w:tc>
      </w:tr>
      <w:tr w:rsidR="00EB545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457" w:rsidRPr="001F656B" w:rsidRDefault="00EB5457" w:rsidP="00EB54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B5457" w:rsidRPr="00B60C98" w:rsidRDefault="00EB5457" w:rsidP="00EB5457">
            <w:pPr>
              <w:rPr>
                <w:sz w:val="20"/>
                <w:szCs w:val="20"/>
              </w:rPr>
            </w:pPr>
          </w:p>
        </w:tc>
      </w:tr>
      <w:tr w:rsidR="004F5667" w:rsidRPr="00B60C98" w:rsidTr="00D30A41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67" w:rsidRPr="001F656B" w:rsidRDefault="004F5667" w:rsidP="004F56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4F5667" w:rsidRPr="00B60C98" w:rsidRDefault="00EB5457" w:rsidP="001E0A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</w:t>
            </w:r>
            <w:r w:rsidR="001E0A72">
              <w:rPr>
                <w:sz w:val="20"/>
                <w:szCs w:val="20"/>
              </w:rPr>
              <w:t>06/07/2019</w:t>
            </w: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4F5667" w:rsidRPr="00B60C98" w:rsidRDefault="004F5667" w:rsidP="004F566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  <w:tr w:rsidR="004F5667" w:rsidRPr="00B60C98" w:rsidTr="00167EC0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4F5667" w:rsidRPr="001F656B" w:rsidRDefault="004F5667" w:rsidP="004F5667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:rsidR="004F5667" w:rsidRPr="00B60C98" w:rsidRDefault="004F5667" w:rsidP="004F5667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36933"/>
    <w:rsid w:val="00170351"/>
    <w:rsid w:val="00194BA6"/>
    <w:rsid w:val="001B04E4"/>
    <w:rsid w:val="001B3715"/>
    <w:rsid w:val="001B3F81"/>
    <w:rsid w:val="001B6F46"/>
    <w:rsid w:val="001C3064"/>
    <w:rsid w:val="001E0A72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F5667"/>
    <w:rsid w:val="005051B8"/>
    <w:rsid w:val="005132F1"/>
    <w:rsid w:val="00516163"/>
    <w:rsid w:val="00521695"/>
    <w:rsid w:val="00521E0E"/>
    <w:rsid w:val="0052443C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56D82"/>
    <w:rsid w:val="00760800"/>
    <w:rsid w:val="007608DB"/>
    <w:rsid w:val="00761032"/>
    <w:rsid w:val="00777362"/>
    <w:rsid w:val="00792F6D"/>
    <w:rsid w:val="00796890"/>
    <w:rsid w:val="007A4857"/>
    <w:rsid w:val="007B6727"/>
    <w:rsid w:val="007D4D67"/>
    <w:rsid w:val="007E04EE"/>
    <w:rsid w:val="007F10D7"/>
    <w:rsid w:val="00817E6C"/>
    <w:rsid w:val="00826C6E"/>
    <w:rsid w:val="008560B4"/>
    <w:rsid w:val="008621B9"/>
    <w:rsid w:val="00864D96"/>
    <w:rsid w:val="008B1851"/>
    <w:rsid w:val="008E089F"/>
    <w:rsid w:val="008F1E98"/>
    <w:rsid w:val="008F6048"/>
    <w:rsid w:val="00936658"/>
    <w:rsid w:val="00943870"/>
    <w:rsid w:val="00944648"/>
    <w:rsid w:val="00975015"/>
    <w:rsid w:val="0098617C"/>
    <w:rsid w:val="009B42A4"/>
    <w:rsid w:val="00A3318E"/>
    <w:rsid w:val="00A513C9"/>
    <w:rsid w:val="00A94A30"/>
    <w:rsid w:val="00AA1DB7"/>
    <w:rsid w:val="00AB7151"/>
    <w:rsid w:val="00AC15BC"/>
    <w:rsid w:val="00AC5A04"/>
    <w:rsid w:val="00B60C98"/>
    <w:rsid w:val="00B61C40"/>
    <w:rsid w:val="00B67A57"/>
    <w:rsid w:val="00B70CB3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7700A"/>
    <w:rsid w:val="00C879BC"/>
    <w:rsid w:val="00C9489A"/>
    <w:rsid w:val="00CA528E"/>
    <w:rsid w:val="00CC7589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7D37"/>
    <w:rsid w:val="00E71323"/>
    <w:rsid w:val="00E725D8"/>
    <w:rsid w:val="00E80337"/>
    <w:rsid w:val="00E95A2B"/>
    <w:rsid w:val="00EB545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500E0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4</cp:revision>
  <cp:lastPrinted>2018-01-24T18:36:00Z</cp:lastPrinted>
  <dcterms:created xsi:type="dcterms:W3CDTF">2019-06-07T21:25:00Z</dcterms:created>
  <dcterms:modified xsi:type="dcterms:W3CDTF">2019-08-26T18:03:00Z</dcterms:modified>
</cp:coreProperties>
</file>