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345779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E14260" w:rsidRPr="00A0716F" w:rsidRDefault="00EC20C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AAS, </w:t>
                                  </w:r>
                                  <w:r w:rsidR="008A7F42">
                                    <w:rPr>
                                      <w:szCs w:val="28"/>
                                    </w:rPr>
                                    <w:t>On Site Power Generation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C709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C709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345779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E14260" w:rsidRPr="00A0716F" w:rsidRDefault="00EC20C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AAS, </w:t>
                            </w:r>
                            <w:r w:rsidR="008A7F42">
                              <w:rPr>
                                <w:szCs w:val="28"/>
                              </w:rPr>
                              <w:t>On Site Power Generation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C709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C709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20C9" w:rsidTr="00AA51EF">
        <w:tc>
          <w:tcPr>
            <w:tcW w:w="4050" w:type="dxa"/>
            <w:vAlign w:val="bottom"/>
          </w:tcPr>
          <w:p w:rsidR="00EC20C9" w:rsidRPr="00BA2629" w:rsidRDefault="00EC20C9" w:rsidP="00EC20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94B86" w:rsidTr="006E3F3E">
        <w:tc>
          <w:tcPr>
            <w:tcW w:w="4050" w:type="dxa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E3F3E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194BA6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292C65" w:rsidRDefault="0028063B" w:rsidP="002806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8063B" w:rsidTr="00847D12"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194B86">
        <w:trPr>
          <w:trHeight w:val="53"/>
        </w:trPr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8063B" w:rsidTr="00686401">
        <w:tc>
          <w:tcPr>
            <w:tcW w:w="4050" w:type="dxa"/>
          </w:tcPr>
          <w:p w:rsidR="0028063B" w:rsidRPr="00194BA6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B00D09">
        <w:trPr>
          <w:trHeight w:val="275"/>
        </w:trPr>
        <w:tc>
          <w:tcPr>
            <w:tcW w:w="11070" w:type="dxa"/>
            <w:gridSpan w:val="9"/>
          </w:tcPr>
          <w:p w:rsidR="0028063B" w:rsidRPr="00943870" w:rsidRDefault="0028063B" w:rsidP="002806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8063B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345779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345779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5C2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16F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BC5C2A" w:rsidP="00194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C5C2A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904CB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16F18" w:rsidRPr="00B60C98" w:rsidTr="005E4F6D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</w:p>
        </w:tc>
      </w:tr>
      <w:tr w:rsidR="00116F18" w:rsidRPr="00B60C98" w:rsidTr="00D26DA2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540" w:type="dxa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16F18" w:rsidRPr="002C6294" w:rsidRDefault="00116F18" w:rsidP="00116F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6F18" w:rsidRPr="002C6294" w:rsidRDefault="00116F18" w:rsidP="00116F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16F18" w:rsidRDefault="00116F18" w:rsidP="00116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16F18" w:rsidRPr="002B6A71" w:rsidRDefault="00116F18" w:rsidP="00116F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E14260" w:rsidRDefault="00116F18" w:rsidP="00116F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16F1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6F1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6F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16F18" w:rsidRPr="004C0486" w:rsidRDefault="00116F18" w:rsidP="00116F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16F18" w:rsidRPr="008C01E4" w:rsidRDefault="00116F18" w:rsidP="00116F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16F18" w:rsidRPr="004C0486" w:rsidRDefault="00116F18" w:rsidP="00116F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16F18" w:rsidRDefault="00116F18" w:rsidP="00116F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16F18" w:rsidRPr="004C0486" w:rsidRDefault="00116F18" w:rsidP="00116F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F18" w:rsidRPr="00521695" w:rsidRDefault="00116F18" w:rsidP="00116F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194B86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AAS, </w:t>
      </w:r>
      <w:r w:rsidR="00814941">
        <w:rPr>
          <w:rFonts w:ascii="Calibri" w:eastAsia="Times New Roman" w:hAnsi="Calibri" w:cs="Times New Roman"/>
          <w:sz w:val="20"/>
          <w:szCs w:val="20"/>
        </w:rPr>
        <w:t>On Site Power Generation</w:t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345779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92" w:rsidRDefault="003C7092" w:rsidP="008518ED">
      <w:pPr>
        <w:spacing w:after="0" w:line="240" w:lineRule="auto"/>
      </w:pPr>
      <w:r>
        <w:separator/>
      </w:r>
    </w:p>
  </w:endnote>
  <w:endnote w:type="continuationSeparator" w:id="0">
    <w:p w:rsidR="003C7092" w:rsidRDefault="003C709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92" w:rsidRDefault="003C7092" w:rsidP="008518ED">
      <w:pPr>
        <w:spacing w:after="0" w:line="240" w:lineRule="auto"/>
      </w:pPr>
      <w:r>
        <w:separator/>
      </w:r>
    </w:p>
  </w:footnote>
  <w:footnote w:type="continuationSeparator" w:id="0">
    <w:p w:rsidR="003C7092" w:rsidRDefault="003C709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6F18"/>
    <w:rsid w:val="001201A3"/>
    <w:rsid w:val="00121BC3"/>
    <w:rsid w:val="00122166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D566D"/>
    <w:rsid w:val="001F656B"/>
    <w:rsid w:val="00212F2C"/>
    <w:rsid w:val="00221773"/>
    <w:rsid w:val="00226229"/>
    <w:rsid w:val="00242E78"/>
    <w:rsid w:val="00243804"/>
    <w:rsid w:val="00244A27"/>
    <w:rsid w:val="0028063B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5779"/>
    <w:rsid w:val="0036386E"/>
    <w:rsid w:val="0037691A"/>
    <w:rsid w:val="00384E42"/>
    <w:rsid w:val="00386994"/>
    <w:rsid w:val="003B5DA0"/>
    <w:rsid w:val="003C7092"/>
    <w:rsid w:val="003D44B3"/>
    <w:rsid w:val="003F238B"/>
    <w:rsid w:val="003F2805"/>
    <w:rsid w:val="003F7D9B"/>
    <w:rsid w:val="00423E0E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941"/>
    <w:rsid w:val="00814F40"/>
    <w:rsid w:val="00826C6E"/>
    <w:rsid w:val="008518ED"/>
    <w:rsid w:val="008560B4"/>
    <w:rsid w:val="008621B9"/>
    <w:rsid w:val="00864D96"/>
    <w:rsid w:val="00872859"/>
    <w:rsid w:val="008A7F4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6EF2"/>
    <w:rsid w:val="00E67D37"/>
    <w:rsid w:val="00E71323"/>
    <w:rsid w:val="00E725D8"/>
    <w:rsid w:val="00E7707A"/>
    <w:rsid w:val="00E80337"/>
    <w:rsid w:val="00EA443B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B6C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161F-11B1-4FDF-83EE-92692CDB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2020-02-12T21:32:00Z</dcterms:created>
  <dcterms:modified xsi:type="dcterms:W3CDTF">2021-05-07T17:41:00Z</dcterms:modified>
</cp:coreProperties>
</file>