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45B7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3117850</wp:posOffset>
                </wp:positionH>
                <wp:positionV relativeFrom="paragraph">
                  <wp:posOffset>-152400</wp:posOffset>
                </wp:positionV>
                <wp:extent cx="38735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602861" w:rsidRDefault="00E45B7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Business Technology </w:t>
                            </w:r>
                            <w:r w:rsidR="00602861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5pt;margin-top:-12pt;width:30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lb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LmYz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602861" w:rsidRDefault="00E45B7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Business Technology </w:t>
                      </w:r>
                      <w:r w:rsidR="00602861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720"/>
        <w:gridCol w:w="810"/>
        <w:gridCol w:w="2790"/>
        <w:gridCol w:w="1283"/>
      </w:tblGrid>
      <w:tr w:rsidR="009722C9" w:rsidTr="006265C6">
        <w:tc>
          <w:tcPr>
            <w:tcW w:w="440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6265C6">
        <w:tc>
          <w:tcPr>
            <w:tcW w:w="440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265C6" w:rsidTr="006265C6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6265C6">
        <w:tc>
          <w:tcPr>
            <w:tcW w:w="440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39452E">
              <w:rPr>
                <w:sz w:val="16"/>
                <w:szCs w:val="16"/>
              </w:rPr>
              <w:t>Science w Lab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  <w:shd w:val="clear" w:color="auto" w:fill="auto"/>
          </w:tcPr>
          <w:p w:rsidR="00056F4B" w:rsidRPr="007D578F" w:rsidRDefault="007D578F" w:rsidP="00CF321F">
            <w:pPr>
              <w:rPr>
                <w:sz w:val="16"/>
                <w:szCs w:val="16"/>
              </w:rPr>
            </w:pPr>
            <w:r w:rsidRPr="007D578F">
              <w:rPr>
                <w:sz w:val="16"/>
                <w:szCs w:val="16"/>
              </w:rPr>
              <w:t>Approved Accounting Course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6F4B" w:rsidRPr="00E67D37" w:rsidRDefault="007D578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56F4B" w:rsidRPr="00E67D37" w:rsidRDefault="007D578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56F4B" w:rsidRPr="00E67D37" w:rsidRDefault="007D578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790" w:type="dxa"/>
            <w:shd w:val="clear" w:color="auto" w:fill="auto"/>
          </w:tcPr>
          <w:p w:rsidR="00056F4B" w:rsidRPr="00E67D37" w:rsidRDefault="0002025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</w:t>
            </w:r>
            <w:r w:rsidR="007D578F">
              <w:rPr>
                <w:sz w:val="16"/>
                <w:szCs w:val="16"/>
              </w:rPr>
              <w:t>, refer closely to catalog</w:t>
            </w:r>
          </w:p>
        </w:tc>
        <w:tc>
          <w:tcPr>
            <w:tcW w:w="1283" w:type="dxa"/>
            <w:shd w:val="clear" w:color="auto" w:fill="auto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265C6" w:rsidTr="006265C6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7D578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722C9" w:rsidTr="006265C6">
        <w:tc>
          <w:tcPr>
            <w:tcW w:w="440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6C35D6">
              <w:rPr>
                <w:sz w:val="16"/>
                <w:szCs w:val="16"/>
              </w:rPr>
              <w:t xml:space="preserve"> Science w/o lab</w:t>
            </w:r>
          </w:p>
        </w:tc>
        <w:tc>
          <w:tcPr>
            <w:tcW w:w="630" w:type="dxa"/>
            <w:vAlign w:val="center"/>
          </w:tcPr>
          <w:p w:rsidR="00056F4B" w:rsidRPr="00194BA6" w:rsidRDefault="00692E8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c>
          <w:tcPr>
            <w:tcW w:w="440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194BA6" w:rsidRDefault="000462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6265C6">
        <w:trPr>
          <w:trHeight w:val="110"/>
        </w:trPr>
        <w:tc>
          <w:tcPr>
            <w:tcW w:w="4405" w:type="dxa"/>
          </w:tcPr>
          <w:p w:rsidR="003561D1" w:rsidRPr="00194BA6" w:rsidRDefault="003561D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</w:tr>
      <w:tr w:rsidR="00AD2A8C" w:rsidTr="006265C6">
        <w:tc>
          <w:tcPr>
            <w:tcW w:w="4405" w:type="dxa"/>
          </w:tcPr>
          <w:p w:rsidR="00AD2A8C" w:rsidRPr="00194BA6" w:rsidRDefault="00AD2A8C" w:rsidP="00AD2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AD2A8C" w:rsidRPr="00020258" w:rsidRDefault="00AD2A8C" w:rsidP="00AD2A8C">
            <w:pPr>
              <w:pStyle w:val="NoSpacing"/>
              <w:rPr>
                <w:sz w:val="16"/>
                <w:szCs w:val="16"/>
              </w:rPr>
            </w:pPr>
            <w:r w:rsidRPr="00020258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AD2A8C" w:rsidRPr="00194BA6" w:rsidRDefault="00AD2A8C" w:rsidP="00AD2A8C">
            <w:pPr>
              <w:pStyle w:val="NoSpacing"/>
              <w:rPr>
                <w:sz w:val="16"/>
                <w:szCs w:val="16"/>
              </w:rPr>
            </w:pPr>
          </w:p>
        </w:tc>
      </w:tr>
      <w:tr w:rsidR="00AD2A8C" w:rsidTr="006265C6">
        <w:tc>
          <w:tcPr>
            <w:tcW w:w="4405" w:type="dxa"/>
          </w:tcPr>
          <w:p w:rsidR="00AD2A8C" w:rsidRPr="00194BA6" w:rsidRDefault="00AD2A8C" w:rsidP="00AD2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D2A8C" w:rsidRPr="00194BA6" w:rsidRDefault="00AD2A8C" w:rsidP="00AD2A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AD2A8C" w:rsidRPr="00194BA6" w:rsidRDefault="00AD2A8C" w:rsidP="00AD2A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AD2A8C" w:rsidRPr="00194BA6" w:rsidRDefault="00AD2A8C" w:rsidP="00AD2A8C">
            <w:pPr>
              <w:pStyle w:val="NoSpacing"/>
              <w:rPr>
                <w:sz w:val="16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3341 Leadership &amp; Advising in Career Tech Student Orgs I</w:t>
            </w:r>
          </w:p>
        </w:tc>
        <w:tc>
          <w:tcPr>
            <w:tcW w:w="63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FA7D27" w:rsidRPr="00194BA6" w:rsidRDefault="00FA7D27" w:rsidP="00FA7D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FA7D27" w:rsidRPr="00194BA6" w:rsidRDefault="00FA7D27" w:rsidP="00FA7D27">
            <w:pPr>
              <w:pStyle w:val="NoSpacing"/>
              <w:rPr>
                <w:sz w:val="16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2F2F2" w:themeFill="background1" w:themeFillShade="F2"/>
          </w:tcPr>
          <w:p w:rsidR="00FA7D2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A7D27" w:rsidRPr="00194BA6" w:rsidRDefault="00925828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A7D27" w:rsidRPr="00194BA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A7D27" w:rsidRPr="00194BA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7D27" w:rsidRPr="00194BA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A7D27" w:rsidRPr="00194BA6" w:rsidRDefault="00FA7D27" w:rsidP="00FA7D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FA7D27" w:rsidRPr="00194BA6" w:rsidRDefault="00FA7D27" w:rsidP="00FA7D27">
            <w:pPr>
              <w:pStyle w:val="NoSpacing"/>
              <w:rPr>
                <w:sz w:val="16"/>
                <w:szCs w:val="16"/>
              </w:rPr>
            </w:pPr>
          </w:p>
        </w:tc>
      </w:tr>
      <w:tr w:rsidR="00FA7D2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A7D27" w:rsidRPr="00194BA6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A7D27" w:rsidTr="006265C6">
        <w:tc>
          <w:tcPr>
            <w:tcW w:w="4405" w:type="dxa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FA7D27" w:rsidRPr="00DF4494" w:rsidRDefault="00FA7D27" w:rsidP="00FA7D27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FA7D27" w:rsidRPr="00DF4494" w:rsidRDefault="00FA7D27" w:rsidP="00FA7D27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3342 Leadership &amp; Advising in Career Tech Student Orgs II</w:t>
            </w:r>
          </w:p>
        </w:tc>
        <w:tc>
          <w:tcPr>
            <w:tcW w:w="63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BED 3341</w:t>
            </w:r>
          </w:p>
        </w:tc>
        <w:tc>
          <w:tcPr>
            <w:tcW w:w="1283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3332  Methods in Business Education</w:t>
            </w:r>
          </w:p>
        </w:tc>
        <w:tc>
          <w:tcPr>
            <w:tcW w:w="63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90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7D27" w:rsidRPr="00020258" w:rsidRDefault="00FA7D27" w:rsidP="00FA7D27">
            <w:pPr>
              <w:pStyle w:val="NoSpacing"/>
              <w:rPr>
                <w:sz w:val="16"/>
                <w:szCs w:val="16"/>
              </w:rPr>
            </w:pPr>
            <w:r w:rsidRPr="00020258">
              <w:rPr>
                <w:sz w:val="16"/>
                <w:szCs w:val="16"/>
              </w:rPr>
              <w:t>Various, refer</w:t>
            </w:r>
            <w:r>
              <w:rPr>
                <w:sz w:val="16"/>
                <w:szCs w:val="16"/>
              </w:rPr>
              <w:t xml:space="preserve"> closely</w:t>
            </w:r>
            <w:r w:rsidRPr="00020258">
              <w:rPr>
                <w:sz w:val="16"/>
                <w:szCs w:val="16"/>
              </w:rPr>
              <w:t xml:space="preserve"> to catalog</w:t>
            </w:r>
          </w:p>
        </w:tc>
        <w:tc>
          <w:tcPr>
            <w:tcW w:w="1283" w:type="dxa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2F2F2" w:themeFill="background1" w:themeFillShade="F2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7D27" w:rsidRPr="00292C65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FA7D27" w:rsidRPr="00D42DE8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A7D27" w:rsidRPr="00292C65" w:rsidRDefault="00FA7D27" w:rsidP="00FA7D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A7D27" w:rsidTr="006265C6">
        <w:tc>
          <w:tcPr>
            <w:tcW w:w="4405" w:type="dxa"/>
            <w:shd w:val="clear" w:color="auto" w:fill="FFFFFF" w:themeFill="background1"/>
            <w:vAlign w:val="bottom"/>
          </w:tcPr>
          <w:p w:rsidR="00FA7D27" w:rsidRPr="002A0596" w:rsidRDefault="00FA7D27" w:rsidP="00FA7D27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A7D27" w:rsidRPr="002A059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A7D27" w:rsidRPr="002A059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A7D27" w:rsidRPr="002A059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A7D27" w:rsidRPr="002A0596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FA7D27" w:rsidRPr="002A0596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FA7D27" w:rsidRPr="00194BA6" w:rsidRDefault="00FA7D27" w:rsidP="00FA7D27">
            <w:pPr>
              <w:rPr>
                <w:sz w:val="16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FFFFF" w:themeFill="background1"/>
          </w:tcPr>
          <w:p w:rsidR="00FA7D27" w:rsidRPr="00292C65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334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Leadership &amp; Advising in Career Tech Student Orgs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3341</w:t>
            </w:r>
          </w:p>
        </w:tc>
        <w:tc>
          <w:tcPr>
            <w:tcW w:w="1283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rPr>
                <w:sz w:val="16"/>
                <w:szCs w:val="16"/>
              </w:rPr>
            </w:pPr>
          </w:p>
        </w:tc>
      </w:tr>
      <w:tr w:rsidR="00FA7D27" w:rsidTr="006265C6">
        <w:tc>
          <w:tcPr>
            <w:tcW w:w="4405" w:type="dxa"/>
            <w:vAlign w:val="bottom"/>
          </w:tcPr>
          <w:p w:rsidR="00FA7D27" w:rsidRPr="00BA2629" w:rsidRDefault="00FA7D27" w:rsidP="00FA7D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ENGL 3308 Business Communications</w:t>
            </w:r>
          </w:p>
        </w:tc>
        <w:tc>
          <w:tcPr>
            <w:tcW w:w="63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FA7D27" w:rsidRPr="00E67D37" w:rsidRDefault="00FA7D27" w:rsidP="00FA7D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1102; 60 cr.</w:t>
            </w:r>
          </w:p>
        </w:tc>
        <w:tc>
          <w:tcPr>
            <w:tcW w:w="1283" w:type="dxa"/>
          </w:tcPr>
          <w:p w:rsidR="00FA7D27" w:rsidRPr="00E67D37" w:rsidRDefault="00FA7D27" w:rsidP="00FA7D27">
            <w:pPr>
              <w:pStyle w:val="NoSpacing"/>
              <w:rPr>
                <w:sz w:val="16"/>
                <w:szCs w:val="16"/>
              </w:rPr>
            </w:pPr>
          </w:p>
        </w:tc>
      </w:tr>
      <w:tr w:rsidR="00FA7D27" w:rsidTr="006265C6">
        <w:tc>
          <w:tcPr>
            <w:tcW w:w="4405" w:type="dxa"/>
            <w:vAlign w:val="bottom"/>
          </w:tcPr>
          <w:p w:rsidR="00FA7D27" w:rsidRPr="00BA2629" w:rsidRDefault="00FA7D27" w:rsidP="00FA7D2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Approved Economics Course</w:t>
            </w:r>
          </w:p>
        </w:tc>
        <w:tc>
          <w:tcPr>
            <w:tcW w:w="63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vAlign w:val="bottom"/>
          </w:tcPr>
          <w:p w:rsidR="00FA7D27" w:rsidRPr="00BA2629" w:rsidRDefault="00FA7D27" w:rsidP="00FA7D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BT 0144 Business Document Processing</w:t>
            </w:r>
            <w:r w:rsidR="00753FBA">
              <w:rPr>
                <w:rFonts w:ascii="Calibri" w:hAnsi="Calibri"/>
                <w:color w:val="000000"/>
                <w:sz w:val="16"/>
                <w:szCs w:val="16"/>
              </w:rPr>
              <w:t xml:space="preserve"> ^</w:t>
            </w:r>
          </w:p>
        </w:tc>
        <w:tc>
          <w:tcPr>
            <w:tcW w:w="63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vAlign w:val="bottom"/>
          </w:tcPr>
          <w:p w:rsidR="00FA7D27" w:rsidRDefault="00FA7D27" w:rsidP="00FA7D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CTE 4401 Foundations of Career &amp; Technical Education</w:t>
            </w:r>
          </w:p>
        </w:tc>
        <w:tc>
          <w:tcPr>
            <w:tcW w:w="630" w:type="dxa"/>
            <w:vAlign w:val="center"/>
          </w:tcPr>
          <w:p w:rsidR="00FA7D2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2F2F2" w:themeFill="background1" w:themeFillShade="F2"/>
          </w:tcPr>
          <w:p w:rsidR="00FA7D27" w:rsidRPr="00BA2629" w:rsidRDefault="00FA7D27" w:rsidP="00FA7D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A7D2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7D2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A7D27" w:rsidTr="00C12C61">
        <w:tc>
          <w:tcPr>
            <w:tcW w:w="4405" w:type="dxa"/>
            <w:vAlign w:val="bottom"/>
          </w:tcPr>
          <w:p w:rsidR="00FA7D27" w:rsidRPr="00BA2629" w:rsidRDefault="00FA7D27" w:rsidP="00FA7D2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Approved Economics Course</w:t>
            </w:r>
          </w:p>
        </w:tc>
        <w:tc>
          <w:tcPr>
            <w:tcW w:w="63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Introduction to Graphic Design</w:t>
            </w:r>
          </w:p>
        </w:tc>
        <w:tc>
          <w:tcPr>
            <w:tcW w:w="630" w:type="dxa"/>
          </w:tcPr>
          <w:p w:rsidR="00FA7D27" w:rsidRPr="00650852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 w:rsidRPr="0065085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A7D27" w:rsidRPr="00650852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 w:rsidRPr="00650852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</w:tcPr>
          <w:p w:rsidR="00FA7D27" w:rsidRPr="00BA2629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</w:tcPr>
          <w:p w:rsidR="00FA7D27" w:rsidRPr="00E67D37" w:rsidRDefault="00925828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Various, refer closely to catalog</w:t>
            </w: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2F2F2" w:themeFill="background1" w:themeFillShade="F2"/>
          </w:tcPr>
          <w:p w:rsidR="00FA7D27" w:rsidRPr="00BA2629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A7D27" w:rsidRPr="00E67D37" w:rsidRDefault="00925828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A7D27" w:rsidTr="006265C6">
        <w:tc>
          <w:tcPr>
            <w:tcW w:w="4405" w:type="dxa"/>
          </w:tcPr>
          <w:p w:rsidR="00FA7D27" w:rsidRPr="00BA2629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FA7D27" w:rsidRPr="00BA2629" w:rsidRDefault="00FA7D27" w:rsidP="00FA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A7D27" w:rsidRPr="00BA2629" w:rsidRDefault="00FA7D27" w:rsidP="00FA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A7D27" w:rsidRPr="00BA2629" w:rsidRDefault="00FA7D27" w:rsidP="00FA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A7D27" w:rsidRPr="00BA2629" w:rsidRDefault="00FA7D27" w:rsidP="00FA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shd w:val="clear" w:color="auto" w:fill="FFFFFF" w:themeFill="background1"/>
          </w:tcPr>
          <w:p w:rsidR="00FA7D27" w:rsidRPr="006265C6" w:rsidRDefault="00FA7D27" w:rsidP="00FA7D27">
            <w:pPr>
              <w:rPr>
                <w:sz w:val="15"/>
                <w:szCs w:val="15"/>
              </w:rPr>
            </w:pPr>
            <w:r w:rsidRPr="006265C6">
              <w:rPr>
                <w:sz w:val="15"/>
                <w:szCs w:val="15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FA7D27" w:rsidRPr="00DF4494" w:rsidRDefault="00FA7D27" w:rsidP="00FA7D27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FA7D27" w:rsidTr="006265C6">
        <w:tc>
          <w:tcPr>
            <w:tcW w:w="4405" w:type="dxa"/>
          </w:tcPr>
          <w:p w:rsidR="00FA7D27" w:rsidRPr="00B67A5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FA7D27" w:rsidRPr="006265C6" w:rsidRDefault="00FA7D27" w:rsidP="00FA7D27">
            <w:pPr>
              <w:pStyle w:val="NoSpacing"/>
              <w:rPr>
                <w:sz w:val="15"/>
                <w:szCs w:val="15"/>
              </w:rPr>
            </w:pPr>
            <w:r w:rsidRPr="006265C6">
              <w:rPr>
                <w:sz w:val="15"/>
                <w:szCs w:val="15"/>
              </w:rPr>
              <w:t>Adm. to TE; EDUC 2215, 3308</w:t>
            </w:r>
          </w:p>
        </w:tc>
        <w:tc>
          <w:tcPr>
            <w:tcW w:w="1283" w:type="dxa"/>
          </w:tcPr>
          <w:p w:rsidR="00FA7D27" w:rsidRPr="00DF4494" w:rsidRDefault="00FA7D27" w:rsidP="00FA7D27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FA7D27" w:rsidTr="006265C6">
        <w:tc>
          <w:tcPr>
            <w:tcW w:w="4405" w:type="dxa"/>
          </w:tcPr>
          <w:p w:rsidR="00FA7D27" w:rsidRPr="00B67A5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7D27" w:rsidRPr="006265C6" w:rsidRDefault="00FA7D27" w:rsidP="00FA7D27">
            <w:pPr>
              <w:pStyle w:val="NoSpacing"/>
              <w:rPr>
                <w:sz w:val="15"/>
                <w:szCs w:val="15"/>
              </w:rPr>
            </w:pPr>
            <w:r w:rsidRPr="006265C6">
              <w:rPr>
                <w:sz w:val="15"/>
                <w:szCs w:val="15"/>
              </w:rPr>
              <w:t>Adm. to TE; EDUC 3308</w:t>
            </w:r>
          </w:p>
        </w:tc>
        <w:tc>
          <w:tcPr>
            <w:tcW w:w="1283" w:type="dxa"/>
          </w:tcPr>
          <w:p w:rsidR="00FA7D27" w:rsidRPr="00DF4494" w:rsidRDefault="00FA7D27" w:rsidP="00FA7D2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FA7D27" w:rsidTr="006265C6">
        <w:tc>
          <w:tcPr>
            <w:tcW w:w="4405" w:type="dxa"/>
          </w:tcPr>
          <w:p w:rsidR="00FA7D27" w:rsidRPr="00B67A5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7D27" w:rsidRPr="00114CA9" w:rsidRDefault="00FA7D27" w:rsidP="00FA7D27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FA7D27" w:rsidRPr="00DF4494" w:rsidRDefault="00FA7D27" w:rsidP="00FA7D27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FA7D27" w:rsidTr="006265C6">
        <w:tc>
          <w:tcPr>
            <w:tcW w:w="4405" w:type="dxa"/>
          </w:tcPr>
          <w:p w:rsidR="00FA7D27" w:rsidRPr="00B67A5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Electives</w:t>
            </w:r>
          </w:p>
        </w:tc>
        <w:tc>
          <w:tcPr>
            <w:tcW w:w="630" w:type="dxa"/>
          </w:tcPr>
          <w:p w:rsidR="00FA7D27" w:rsidRPr="00E67D37" w:rsidRDefault="00925828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Various, refer closely to catalog</w:t>
            </w: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2F2F2" w:themeFill="background1" w:themeFillShade="F2"/>
          </w:tcPr>
          <w:p w:rsidR="00FA7D27" w:rsidRPr="00B67A57" w:rsidRDefault="00FA7D27" w:rsidP="00FA7D2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FA7D27" w:rsidRPr="00E67D37" w:rsidRDefault="00925828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A7D27" w:rsidRPr="00C04A5A" w:rsidRDefault="00FA7D27" w:rsidP="00FA7D2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  <w:bookmarkStart w:id="0" w:name="_GoBack"/>
            <w:bookmarkEnd w:id="0"/>
          </w:p>
        </w:tc>
      </w:tr>
      <w:tr w:rsidR="00FA7D27" w:rsidTr="006265C6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FA7D27" w:rsidRDefault="00FA7D27" w:rsidP="00FA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FA7D27" w:rsidRDefault="00FA7D27" w:rsidP="00FA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6265C6">
        <w:tc>
          <w:tcPr>
            <w:tcW w:w="4405" w:type="dxa"/>
            <w:shd w:val="clear" w:color="auto" w:fill="F2F2F2" w:themeFill="background1" w:themeFillShade="F2"/>
          </w:tcPr>
          <w:p w:rsidR="00FA7D27" w:rsidRPr="00B67A57" w:rsidRDefault="00FA7D27" w:rsidP="00FA7D2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7D27" w:rsidRPr="00E67D37" w:rsidRDefault="00FA7D27" w:rsidP="00FA7D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FA7D27" w:rsidRPr="00C04A5A" w:rsidRDefault="00FA7D27" w:rsidP="00FA7D27">
            <w:pPr>
              <w:pStyle w:val="NoSpacing"/>
              <w:rPr>
                <w:sz w:val="14"/>
                <w:szCs w:val="16"/>
              </w:rPr>
            </w:pPr>
          </w:p>
        </w:tc>
      </w:tr>
      <w:tr w:rsidR="00FA7D27" w:rsidTr="00CF321F">
        <w:tc>
          <w:tcPr>
            <w:tcW w:w="11178" w:type="dxa"/>
            <w:gridSpan w:val="7"/>
          </w:tcPr>
          <w:p w:rsidR="00FA7D27" w:rsidRPr="00943870" w:rsidRDefault="00FA7D27" w:rsidP="00FA7D2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A7D27" w:rsidRDefault="00FA7D27" w:rsidP="00FA7D27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  <w:p w:rsidR="00753FBA" w:rsidRPr="00C04A5A" w:rsidRDefault="00753FBA" w:rsidP="00FA7D2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^= Students may only apply 8 BT credits toward your degree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35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35425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35425A" w:rsidP="003542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753FBA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Business Technology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753FB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53FBA" w:rsidRPr="00B60C98" w:rsidTr="00753FBA">
        <w:tc>
          <w:tcPr>
            <w:tcW w:w="4885" w:type="dxa"/>
            <w:vMerge w:val="restart"/>
            <w:shd w:val="clear" w:color="auto" w:fill="auto"/>
          </w:tcPr>
          <w:p w:rsidR="00753FBA" w:rsidRPr="001F656B" w:rsidRDefault="00753FBA" w:rsidP="00753F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Accounting Course: Choose one of the following only (pre-requisites apply):  ACCT 2201: Principles of Accounting I; ACCT 3303: Accounting Concepts; BT 0120: Basic Accounting; BT 0147: Accounting Applications; BT 0148: Payroll Procedures: BT 0171: Computerized Accounting ^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53FBA" w:rsidRPr="00B60C98" w:rsidRDefault="00753FBA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53FBA" w:rsidRPr="00B60C98" w:rsidTr="00753FBA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753FBA" w:rsidRPr="001F656B" w:rsidRDefault="00753FBA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</w:p>
        </w:tc>
      </w:tr>
      <w:tr w:rsidR="00753FBA" w:rsidRPr="00B60C98" w:rsidTr="00753FBA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753FBA" w:rsidRPr="001F656B" w:rsidRDefault="00753FBA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53FBA" w:rsidRPr="00B60C98" w:rsidTr="00753FBA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753FBA" w:rsidRPr="001F656B" w:rsidRDefault="00753FBA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DE9D9" w:themeFill="accent6" w:themeFillTint="33"/>
          </w:tcPr>
          <w:p w:rsidR="00753FBA" w:rsidRPr="00B60C98" w:rsidRDefault="00753FBA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53FBA" w:rsidRPr="00B60C98" w:rsidRDefault="00753FBA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3FBA" w:rsidRPr="00B60C98" w:rsidTr="00753FBA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753FBA" w:rsidRPr="001F656B" w:rsidRDefault="00753FBA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53FBA" w:rsidRPr="00B60C98" w:rsidTr="00753FBA">
        <w:tc>
          <w:tcPr>
            <w:tcW w:w="4885" w:type="dxa"/>
            <w:vMerge w:val="restart"/>
            <w:shd w:val="clear" w:color="auto" w:fill="auto"/>
          </w:tcPr>
          <w:p w:rsidR="00753FBA" w:rsidRPr="001F656B" w:rsidRDefault="00753FBA" w:rsidP="00DA6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Economics Course:  Choose </w:t>
            </w:r>
            <w:r w:rsidR="00DA69D1">
              <w:rPr>
                <w:sz w:val="18"/>
                <w:szCs w:val="18"/>
              </w:rPr>
              <w:t>two</w:t>
            </w:r>
            <w:r>
              <w:rPr>
                <w:sz w:val="18"/>
                <w:szCs w:val="18"/>
              </w:rPr>
              <w:t xml:space="preserve"> of the following only: ECON 2201: Principles of Macroeconomics; ECON 2202: Principles of Microeconomics; FCS 4470: Consumer Economics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53FBA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53FBA" w:rsidRPr="00B60C98" w:rsidRDefault="00753FB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53FBA" w:rsidRPr="00B60C98" w:rsidRDefault="00753FBA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53FBA" w:rsidRPr="00B60C98" w:rsidTr="00753FBA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753FBA" w:rsidRPr="001F656B" w:rsidRDefault="00753FBA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53FBA" w:rsidRPr="002C6294" w:rsidRDefault="00753FBA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53FBA" w:rsidRPr="002C6294" w:rsidRDefault="00753FBA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53FBA" w:rsidRPr="00B60C98" w:rsidTr="00753FBA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753FBA" w:rsidRPr="001F656B" w:rsidRDefault="00753FBA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</w:tcPr>
          <w:p w:rsidR="00753FBA" w:rsidRPr="001F656B" w:rsidRDefault="00753FBA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53FBA" w:rsidRPr="00AD2A8C" w:rsidRDefault="00753FBA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 3332</w:t>
            </w:r>
            <w:r w:rsidR="00DA69D1">
              <w:rPr>
                <w:sz w:val="18"/>
                <w:szCs w:val="18"/>
              </w:rPr>
              <w:t>: Methods in Business Education</w:t>
            </w:r>
          </w:p>
        </w:tc>
        <w:tc>
          <w:tcPr>
            <w:tcW w:w="614" w:type="dxa"/>
          </w:tcPr>
          <w:p w:rsidR="00B60C9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DA69D1" w:rsidRDefault="00753FBA" w:rsidP="00DA69D1">
            <w:pPr>
              <w:jc w:val="both"/>
              <w:rPr>
                <w:sz w:val="18"/>
                <w:szCs w:val="18"/>
              </w:rPr>
            </w:pPr>
            <w:r w:rsidRPr="00DA69D1">
              <w:rPr>
                <w:sz w:val="18"/>
                <w:szCs w:val="18"/>
              </w:rPr>
              <w:t>BED 3341</w:t>
            </w:r>
            <w:r w:rsidR="00DA69D1" w:rsidRPr="00DA69D1">
              <w:rPr>
                <w:sz w:val="18"/>
                <w:szCs w:val="18"/>
              </w:rPr>
              <w:t xml:space="preserve">: </w:t>
            </w:r>
            <w:r w:rsidR="00DA69D1" w:rsidRPr="00DA69D1">
              <w:rPr>
                <w:sz w:val="18"/>
                <w:szCs w:val="18"/>
              </w:rPr>
              <w:t>Leadership &amp; Advising in Career Tech Student Orgs</w:t>
            </w:r>
            <w:r w:rsidR="00DA69D1">
              <w:rPr>
                <w:sz w:val="18"/>
                <w:szCs w:val="18"/>
              </w:rPr>
              <w:t xml:space="preserve"> I</w:t>
            </w:r>
          </w:p>
        </w:tc>
        <w:tc>
          <w:tcPr>
            <w:tcW w:w="614" w:type="dxa"/>
          </w:tcPr>
          <w:p w:rsidR="008F604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 3342</w:t>
            </w:r>
            <w:r w:rsidR="00DA69D1">
              <w:rPr>
                <w:sz w:val="18"/>
                <w:szCs w:val="18"/>
              </w:rPr>
              <w:t xml:space="preserve">: </w:t>
            </w:r>
            <w:r w:rsidR="00DA69D1" w:rsidRPr="00DA69D1">
              <w:rPr>
                <w:sz w:val="18"/>
                <w:szCs w:val="18"/>
              </w:rPr>
              <w:t>Leadership &amp; Advising in Career Tech Student Orgs</w:t>
            </w:r>
            <w:r w:rsidR="00DA69D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614" w:type="dxa"/>
          </w:tcPr>
          <w:p w:rsidR="008F604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 3343</w:t>
            </w:r>
            <w:r w:rsidR="00DA69D1">
              <w:rPr>
                <w:sz w:val="18"/>
                <w:szCs w:val="18"/>
              </w:rPr>
              <w:t>:</w:t>
            </w:r>
            <w:r w:rsidR="00DA69D1" w:rsidRPr="00DA69D1">
              <w:rPr>
                <w:sz w:val="18"/>
                <w:szCs w:val="18"/>
              </w:rPr>
              <w:t xml:space="preserve"> </w:t>
            </w:r>
            <w:r w:rsidR="00DA69D1" w:rsidRPr="00DA69D1">
              <w:rPr>
                <w:sz w:val="18"/>
                <w:szCs w:val="18"/>
              </w:rPr>
              <w:t>Leadership &amp; Advising in Career Tech Student Orgs</w:t>
            </w:r>
            <w:r w:rsidR="00DA69D1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614" w:type="dxa"/>
          </w:tcPr>
          <w:p w:rsidR="008F604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614" w:type="dxa"/>
          </w:tcPr>
          <w:p w:rsidR="00B60C9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2231: Introduction to Graphic Design</w:t>
            </w:r>
          </w:p>
        </w:tc>
        <w:tc>
          <w:tcPr>
            <w:tcW w:w="614" w:type="dxa"/>
          </w:tcPr>
          <w:p w:rsidR="00B60C9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5425A" w:rsidP="0035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4401: Foundations of Career &amp; Technical Education</w:t>
            </w:r>
          </w:p>
        </w:tc>
        <w:tc>
          <w:tcPr>
            <w:tcW w:w="614" w:type="dxa"/>
          </w:tcPr>
          <w:p w:rsidR="00B60C9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5425A" w:rsidP="0035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53F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3308: Business Communications</w:t>
            </w:r>
          </w:p>
        </w:tc>
        <w:tc>
          <w:tcPr>
            <w:tcW w:w="614" w:type="dxa"/>
          </w:tcPr>
          <w:p w:rsidR="00B60C98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5425A" w:rsidP="0035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69D1" w:rsidRPr="00B60C98" w:rsidTr="00D564D1">
        <w:tc>
          <w:tcPr>
            <w:tcW w:w="4885" w:type="dxa"/>
            <w:vMerge w:val="restart"/>
            <w:shd w:val="clear" w:color="auto" w:fill="auto"/>
          </w:tcPr>
          <w:p w:rsidR="00DA69D1" w:rsidRPr="001F656B" w:rsidRDefault="00DA69D1" w:rsidP="00DA6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Electives: ACCT 2202; BA 1110; BED 4485; CMP 2202; </w:t>
            </w:r>
            <w:r>
              <w:rPr>
                <w:sz w:val="18"/>
                <w:szCs w:val="18"/>
              </w:rPr>
              <w:t>CMP 2261; CMP 3335; COUN 1150; CTE 4402; CTE 4403; ECON 1100; ECON 2202; ECON 3301; ECON 3302, ECON 3323; ECON 4431; FCS 4470 FIN 1115; FIN 3301; INFO 1110; INFO 3301, INFO 3303; INFO 4430; MGT 2261; MGT 3303; MGT 3312; MGT 4462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A69D1" w:rsidRPr="00B60C98" w:rsidRDefault="00DA69D1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69D1" w:rsidRPr="00B60C98" w:rsidRDefault="0035425A" w:rsidP="0035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DA69D1" w:rsidRPr="00B60C98" w:rsidTr="00D564D1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A69D1" w:rsidRPr="00B60C98" w:rsidRDefault="00DA69D1" w:rsidP="0035425A">
            <w:pPr>
              <w:jc w:val="center"/>
              <w:rPr>
                <w:sz w:val="20"/>
                <w:szCs w:val="20"/>
              </w:rPr>
            </w:pPr>
          </w:p>
        </w:tc>
      </w:tr>
      <w:tr w:rsidR="00DA69D1" w:rsidRPr="00B60C98" w:rsidTr="00D564D1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A69D1" w:rsidRPr="00B60C98" w:rsidRDefault="00DA69D1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A69D1" w:rsidRPr="00B60C98" w:rsidTr="00D564D1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A69D1" w:rsidRPr="00B60C98" w:rsidRDefault="00DA69D1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A69D1" w:rsidRPr="00B60C98" w:rsidTr="00D564D1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DA69D1" w:rsidRPr="00B60C98" w:rsidRDefault="00DA69D1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A69D1" w:rsidRPr="00B60C98" w:rsidTr="0034741B">
        <w:trPr>
          <w:trHeight w:val="257"/>
        </w:trPr>
        <w:tc>
          <w:tcPr>
            <w:tcW w:w="4885" w:type="dxa"/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69D1" w:rsidRPr="00B60C98" w:rsidRDefault="00DA69D1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69D1" w:rsidRPr="00B60C98" w:rsidRDefault="00DA69D1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A69D1" w:rsidRPr="00B60C98" w:rsidTr="0034741B">
        <w:tc>
          <w:tcPr>
            <w:tcW w:w="4885" w:type="dxa"/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69D1" w:rsidRPr="00B60C98" w:rsidRDefault="00DA69D1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69D1" w:rsidRPr="00B60C98" w:rsidRDefault="00DA69D1" w:rsidP="00E47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69D1" w:rsidRPr="00B60C98" w:rsidTr="0034741B">
        <w:trPr>
          <w:trHeight w:val="248"/>
        </w:trPr>
        <w:tc>
          <w:tcPr>
            <w:tcW w:w="4885" w:type="dxa"/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69D1" w:rsidRPr="00B60C98" w:rsidRDefault="00DA69D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69D1" w:rsidRPr="00B60C98" w:rsidRDefault="00DA69D1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69D1" w:rsidRPr="00B60C98" w:rsidTr="0034741B">
        <w:trPr>
          <w:trHeight w:val="247"/>
        </w:trPr>
        <w:tc>
          <w:tcPr>
            <w:tcW w:w="4885" w:type="dxa"/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69D1" w:rsidRPr="00B60C98" w:rsidRDefault="00DA69D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69D1" w:rsidRPr="00B60C98" w:rsidRDefault="00DA69D1" w:rsidP="00D3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69D1" w:rsidRPr="00B60C98" w:rsidTr="0034741B">
        <w:tc>
          <w:tcPr>
            <w:tcW w:w="4885" w:type="dxa"/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69D1" w:rsidRPr="00B60C98" w:rsidRDefault="00DA69D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69D1" w:rsidRPr="00B60C98" w:rsidRDefault="00DA69D1" w:rsidP="00E47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69D1" w:rsidRPr="00B60C98" w:rsidTr="0034741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A69D1" w:rsidRPr="001F656B" w:rsidRDefault="00DA69D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D1" w:rsidRPr="001F656B" w:rsidRDefault="00DA69D1" w:rsidP="00753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69D1" w:rsidRPr="00B60C98" w:rsidRDefault="00DA69D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A69D1" w:rsidRPr="00B60C98" w:rsidRDefault="00DA69D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753FBA">
            <w:pPr>
              <w:jc w:val="right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753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47B63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6.15.18smf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753FBA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 Students may only apply 8 BT credits toward degree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0258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6F46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425A"/>
    <w:rsid w:val="003561D1"/>
    <w:rsid w:val="00375605"/>
    <w:rsid w:val="0037691A"/>
    <w:rsid w:val="00384E42"/>
    <w:rsid w:val="00386994"/>
    <w:rsid w:val="00391F99"/>
    <w:rsid w:val="0039452E"/>
    <w:rsid w:val="00396F79"/>
    <w:rsid w:val="003E1CBA"/>
    <w:rsid w:val="003F2805"/>
    <w:rsid w:val="003F7D9B"/>
    <w:rsid w:val="00434098"/>
    <w:rsid w:val="00443C4E"/>
    <w:rsid w:val="00466AA7"/>
    <w:rsid w:val="00473423"/>
    <w:rsid w:val="00473C19"/>
    <w:rsid w:val="00477592"/>
    <w:rsid w:val="004826EE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02861"/>
    <w:rsid w:val="006158FE"/>
    <w:rsid w:val="006265C6"/>
    <w:rsid w:val="0063135C"/>
    <w:rsid w:val="00631499"/>
    <w:rsid w:val="00650852"/>
    <w:rsid w:val="00663CDA"/>
    <w:rsid w:val="006808E0"/>
    <w:rsid w:val="00692E8E"/>
    <w:rsid w:val="006A6AF8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53FBA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D578F"/>
    <w:rsid w:val="007E04EE"/>
    <w:rsid w:val="007F10D7"/>
    <w:rsid w:val="00826C6E"/>
    <w:rsid w:val="008437F0"/>
    <w:rsid w:val="008560B4"/>
    <w:rsid w:val="008621B9"/>
    <w:rsid w:val="00864D96"/>
    <w:rsid w:val="008B1851"/>
    <w:rsid w:val="008D0EBC"/>
    <w:rsid w:val="008F1E98"/>
    <w:rsid w:val="008F6048"/>
    <w:rsid w:val="00925828"/>
    <w:rsid w:val="00936658"/>
    <w:rsid w:val="00943870"/>
    <w:rsid w:val="00944648"/>
    <w:rsid w:val="009722C9"/>
    <w:rsid w:val="00975015"/>
    <w:rsid w:val="0098617C"/>
    <w:rsid w:val="009B42A4"/>
    <w:rsid w:val="00A04E02"/>
    <w:rsid w:val="00A3318E"/>
    <w:rsid w:val="00A513C9"/>
    <w:rsid w:val="00A94A30"/>
    <w:rsid w:val="00AA1DB7"/>
    <w:rsid w:val="00AA4B37"/>
    <w:rsid w:val="00AB7151"/>
    <w:rsid w:val="00AC5A04"/>
    <w:rsid w:val="00AD2A8C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564D1"/>
    <w:rsid w:val="00D8570C"/>
    <w:rsid w:val="00D86D33"/>
    <w:rsid w:val="00D914C1"/>
    <w:rsid w:val="00DA1BEE"/>
    <w:rsid w:val="00DA69D1"/>
    <w:rsid w:val="00DB202D"/>
    <w:rsid w:val="00DC4E37"/>
    <w:rsid w:val="00DD67D4"/>
    <w:rsid w:val="00DF097F"/>
    <w:rsid w:val="00DF4494"/>
    <w:rsid w:val="00DF6243"/>
    <w:rsid w:val="00E45B7C"/>
    <w:rsid w:val="00E47B63"/>
    <w:rsid w:val="00E67D37"/>
    <w:rsid w:val="00E71323"/>
    <w:rsid w:val="00E71BB2"/>
    <w:rsid w:val="00E725D8"/>
    <w:rsid w:val="00E80337"/>
    <w:rsid w:val="00EF141B"/>
    <w:rsid w:val="00F02567"/>
    <w:rsid w:val="00F5131F"/>
    <w:rsid w:val="00F74EE3"/>
    <w:rsid w:val="00F84E02"/>
    <w:rsid w:val="00F859C0"/>
    <w:rsid w:val="00FA7D27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70E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182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11</cp:revision>
  <cp:lastPrinted>2016-09-01T20:48:00Z</cp:lastPrinted>
  <dcterms:created xsi:type="dcterms:W3CDTF">2018-06-15T19:20:00Z</dcterms:created>
  <dcterms:modified xsi:type="dcterms:W3CDTF">2018-06-18T18:52:00Z</dcterms:modified>
</cp:coreProperties>
</file>