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AD130D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B36005" w:rsidRPr="00DD67D4" w:rsidRDefault="002B600D" w:rsidP="00AB1F4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B1F40">
                              <w:rPr>
                                <w:sz w:val="28"/>
                                <w:szCs w:val="28"/>
                              </w:rPr>
                              <w:t>Welder-Fitter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AD130D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B36005" w:rsidRPr="00DD67D4" w:rsidRDefault="002B600D" w:rsidP="00AB1F4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B1F40">
                        <w:rPr>
                          <w:sz w:val="28"/>
                          <w:szCs w:val="28"/>
                        </w:rPr>
                        <w:t>Welder-Fitter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130D">
        <w:tc>
          <w:tcPr>
            <w:tcW w:w="4765" w:type="dxa"/>
          </w:tcPr>
          <w:p w:rsidR="00056F4B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0131: Welding Practice I  OR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Welding  And</w:t>
            </w:r>
          </w:p>
          <w:p w:rsidR="00B514B8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Welding  And</w:t>
            </w:r>
          </w:p>
          <w:p w:rsidR="00B514B8" w:rsidRPr="00E67D37" w:rsidRDefault="00B514B8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630" w:type="dxa"/>
          </w:tcPr>
          <w:p w:rsidR="00B514B8" w:rsidRPr="00E67D37" w:rsidRDefault="00B514B8" w:rsidP="00AD13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056F4B" w:rsidRPr="00E67D37" w:rsidRDefault="00B514B8" w:rsidP="00AD13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Default="00B514B8" w:rsidP="00AD13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B514B8" w:rsidRPr="00E67D37" w:rsidRDefault="00B514B8" w:rsidP="00AD13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514B8" w:rsidRPr="00E67D37" w:rsidRDefault="00B514B8" w:rsidP="00AD13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630" w:type="dxa"/>
            <w:vAlign w:val="center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514B8" w:rsidTr="000A6705">
        <w:tc>
          <w:tcPr>
            <w:tcW w:w="4765" w:type="dxa"/>
          </w:tcPr>
          <w:p w:rsidR="00B514B8" w:rsidRDefault="00B514B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630" w:type="dxa"/>
            <w:vAlign w:val="center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514B8" w:rsidRDefault="00B514B8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14B8" w:rsidRPr="00E67D37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14B8" w:rsidRDefault="00B514B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B514B8" w:rsidRPr="00E67D37" w:rsidRDefault="00B514B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514B8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395948" w:rsidP="004F5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4F5ADE">
              <w:rPr>
                <w:sz w:val="16"/>
                <w:szCs w:val="16"/>
              </w:rPr>
              <w:t>2</w:t>
            </w:r>
            <w:r w:rsidR="00B36005">
              <w:rPr>
                <w:sz w:val="16"/>
                <w:szCs w:val="16"/>
              </w:rPr>
              <w:t xml:space="preserve">: </w:t>
            </w:r>
            <w:r w:rsidR="004F5ADE">
              <w:rPr>
                <w:sz w:val="16"/>
                <w:szCs w:val="16"/>
              </w:rPr>
              <w:t>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A6705">
        <w:tc>
          <w:tcPr>
            <w:tcW w:w="4765" w:type="dxa"/>
          </w:tcPr>
          <w:p w:rsidR="002B600D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630" w:type="dxa"/>
            <w:vAlign w:val="center"/>
          </w:tcPr>
          <w:p w:rsidR="002B600D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2B600D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630" w:type="dxa"/>
            <w:vAlign w:val="center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C262FB" w:rsidP="00B514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812DB5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C262F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514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C262FB">
              <w:rPr>
                <w:sz w:val="16"/>
                <w:szCs w:val="16"/>
              </w:rPr>
              <w:t xml:space="preserve"> Three (Summer)</w:t>
            </w:r>
          </w:p>
        </w:tc>
      </w:tr>
      <w:tr w:rsidR="000259CE" w:rsidTr="000A6705">
        <w:tc>
          <w:tcPr>
            <w:tcW w:w="4765" w:type="dxa"/>
            <w:shd w:val="clear" w:color="auto" w:fill="FFFFFF" w:themeFill="background1"/>
          </w:tcPr>
          <w:p w:rsidR="000259CE" w:rsidRDefault="004F5ADE" w:rsidP="00B27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27464">
              <w:rPr>
                <w:sz w:val="16"/>
                <w:szCs w:val="16"/>
              </w:rPr>
              <w:t xml:space="preserve"> 3: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  <w:shd w:val="clear" w:color="auto" w:fill="FFFFFF" w:themeFill="background1"/>
          </w:tcPr>
          <w:p w:rsidR="00812DB5" w:rsidRDefault="00812DB5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A670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C262F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020DB" w:rsidTr="000A6705">
        <w:tc>
          <w:tcPr>
            <w:tcW w:w="4765" w:type="dxa"/>
          </w:tcPr>
          <w:p w:rsidR="001020DB" w:rsidRPr="00194BA6" w:rsidRDefault="00294674" w:rsidP="004F5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B2746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63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294674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0231: Welding Practice III</w:t>
            </w:r>
          </w:p>
        </w:tc>
        <w:tc>
          <w:tcPr>
            <w:tcW w:w="630" w:type="dxa"/>
            <w:vAlign w:val="center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C262F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056F4B" w:rsidRPr="000259CE" w:rsidRDefault="00C262F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</w:t>
            </w: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84049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0241: Metal Layout</w:t>
            </w:r>
          </w:p>
        </w:tc>
        <w:tc>
          <w:tcPr>
            <w:tcW w:w="630" w:type="dxa"/>
            <w:vAlign w:val="center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E6320C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</w:t>
            </w: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E8404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C262F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B27464" w:rsidP="00B27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Objective: Select from Objectives not Previously Applied</w:t>
            </w:r>
            <w:r w:rsidR="004F5A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BD787A" w:rsidRPr="00292C65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4F5ADE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A6705">
        <w:tc>
          <w:tcPr>
            <w:tcW w:w="4765" w:type="dxa"/>
          </w:tcPr>
          <w:p w:rsidR="00CD01B3" w:rsidRDefault="00E84049" w:rsidP="00B36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0232: Welding Practice IV</w:t>
            </w:r>
          </w:p>
        </w:tc>
        <w:tc>
          <w:tcPr>
            <w:tcW w:w="630" w:type="dxa"/>
            <w:vAlign w:val="center"/>
          </w:tcPr>
          <w:p w:rsidR="00CD01B3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CD01B3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CD01B3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0231</w:t>
            </w:r>
          </w:p>
        </w:tc>
        <w:tc>
          <w:tcPr>
            <w:tcW w:w="200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E84049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0243: Shop Math II</w:t>
            </w:r>
          </w:p>
        </w:tc>
        <w:tc>
          <w:tcPr>
            <w:tcW w:w="630" w:type="dxa"/>
            <w:vAlign w:val="center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E8404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BD787A" w:rsidRPr="000259CE" w:rsidRDefault="00E8404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</w:t>
            </w: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E8404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453BF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4F5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4F5ADE">
              <w:rPr>
                <w:b/>
                <w:sz w:val="20"/>
                <w:szCs w:val="20"/>
              </w:rPr>
              <w:t>6</w:t>
            </w:r>
            <w:r w:rsidR="00812DB5">
              <w:rPr>
                <w:b/>
                <w:sz w:val="20"/>
                <w:szCs w:val="20"/>
              </w:rPr>
              <w:t xml:space="preserve"> and </w:t>
            </w:r>
            <w:r w:rsidR="004F5ADE">
              <w:rPr>
                <w:b/>
                <w:sz w:val="20"/>
                <w:szCs w:val="20"/>
              </w:rPr>
              <w:t>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B1F40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WELD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4F5ADE"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91560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bookmarkStart w:id="0" w:name="_GoBack"/>
            <w:bookmarkEnd w:id="0"/>
            <w:r w:rsidRPr="00B60C98">
              <w:rPr>
                <w:sz w:val="18"/>
                <w:szCs w:val="18"/>
              </w:rPr>
              <w:t>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27464" w:rsidRPr="00B60C98" w:rsidTr="0083375A">
        <w:tc>
          <w:tcPr>
            <w:tcW w:w="4765" w:type="dxa"/>
            <w:vMerge w:val="restart"/>
            <w:shd w:val="clear" w:color="auto" w:fill="auto"/>
          </w:tcPr>
          <w:p w:rsidR="00B27464" w:rsidRPr="001F656B" w:rsidRDefault="00B27464" w:rsidP="00B274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B27464" w:rsidRPr="001F656B" w:rsidRDefault="00B27464" w:rsidP="00B274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B27464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720" w:type="dxa"/>
            <w:vMerge w:val="restart"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27464" w:rsidRPr="00B60C98" w:rsidRDefault="00B27464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27464" w:rsidRPr="00B60C98" w:rsidRDefault="00B27464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27464" w:rsidRPr="00B60C98" w:rsidRDefault="00B27464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7464" w:rsidRPr="00B60C98" w:rsidRDefault="00B2746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3D1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27464" w:rsidRPr="00B60C98" w:rsidRDefault="00B27464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B27464" w:rsidRPr="00B60C98" w:rsidTr="0083375A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B27464" w:rsidRPr="001F656B" w:rsidRDefault="00B27464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27464" w:rsidRPr="001F656B" w:rsidRDefault="00B27464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27464" w:rsidRPr="00807CA5" w:rsidRDefault="00B27464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27464" w:rsidRPr="00807CA5" w:rsidRDefault="00B27464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720" w:type="dxa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720" w:type="dxa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0231 Welding Practice 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27464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0232 Welding Practice IV</w:t>
            </w:r>
          </w:p>
        </w:tc>
        <w:tc>
          <w:tcPr>
            <w:tcW w:w="720" w:type="dxa"/>
          </w:tcPr>
          <w:p w:rsidR="00B60C98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B27464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0241 Metal Layout</w:t>
            </w:r>
          </w:p>
        </w:tc>
        <w:tc>
          <w:tcPr>
            <w:tcW w:w="720" w:type="dxa"/>
          </w:tcPr>
          <w:p w:rsidR="001C535C" w:rsidRPr="001F656B" w:rsidRDefault="00B27464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B2746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0243 Shop Math II</w:t>
            </w:r>
          </w:p>
        </w:tc>
        <w:tc>
          <w:tcPr>
            <w:tcW w:w="720" w:type="dxa"/>
          </w:tcPr>
          <w:p w:rsidR="001C535C" w:rsidRPr="001F656B" w:rsidRDefault="00B2746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F5ADE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91560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F5AD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91560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AD130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1020DB"/>
    <w:rsid w:val="0010774C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12489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4F5ADE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53BF"/>
    <w:rsid w:val="008560B4"/>
    <w:rsid w:val="008621B9"/>
    <w:rsid w:val="00864D96"/>
    <w:rsid w:val="008A09CA"/>
    <w:rsid w:val="008B1851"/>
    <w:rsid w:val="008F1E98"/>
    <w:rsid w:val="008F6048"/>
    <w:rsid w:val="00915600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1F40"/>
    <w:rsid w:val="00AB7151"/>
    <w:rsid w:val="00AC15BC"/>
    <w:rsid w:val="00AC4816"/>
    <w:rsid w:val="00AC5A04"/>
    <w:rsid w:val="00AD130D"/>
    <w:rsid w:val="00B27464"/>
    <w:rsid w:val="00B36005"/>
    <w:rsid w:val="00B514B8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2FB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16855"/>
    <w:rsid w:val="00E6320C"/>
    <w:rsid w:val="00E67D37"/>
    <w:rsid w:val="00E71323"/>
    <w:rsid w:val="00E725D8"/>
    <w:rsid w:val="00E80337"/>
    <w:rsid w:val="00E82317"/>
    <w:rsid w:val="00E84049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Tiffiany Fanning</cp:lastModifiedBy>
  <cp:revision>3</cp:revision>
  <cp:lastPrinted>2018-02-12T17:18:00Z</cp:lastPrinted>
  <dcterms:created xsi:type="dcterms:W3CDTF">2019-06-11T16:06:00Z</dcterms:created>
  <dcterms:modified xsi:type="dcterms:W3CDTF">2019-06-11T16:09:00Z</dcterms:modified>
</cp:coreProperties>
</file>