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5019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</w:t>
                                  </w:r>
                                  <w:r w:rsidR="00E14260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14260" w:rsidRDefault="005019E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Social Work</w:t>
                                  </w:r>
                                </w:p>
                                <w:p w:rsidR="005019E0" w:rsidRDefault="005019E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6697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6697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5019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</w:t>
                            </w:r>
                            <w:r w:rsidR="00E14260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E14260" w:rsidRDefault="005019E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Social Work</w:t>
                            </w:r>
                          </w:p>
                          <w:p w:rsidR="005019E0" w:rsidRDefault="005019E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6697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6697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402"/>
        <w:gridCol w:w="450"/>
        <w:gridCol w:w="360"/>
        <w:gridCol w:w="545"/>
        <w:gridCol w:w="23"/>
        <w:gridCol w:w="607"/>
        <w:gridCol w:w="23"/>
        <w:gridCol w:w="2676"/>
        <w:gridCol w:w="1984"/>
      </w:tblGrid>
      <w:tr w:rsidR="00BD787A" w:rsidTr="00E0566F">
        <w:tc>
          <w:tcPr>
            <w:tcW w:w="4402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9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4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0566F">
        <w:tc>
          <w:tcPr>
            <w:tcW w:w="4402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4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A669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  <w:r w:rsidR="00A66977">
              <w:rPr>
                <w:sz w:val="16"/>
                <w:szCs w:val="16"/>
              </w:rPr>
              <w:t xml:space="preserve"> Objective 3: MATH 1153 – Statistical Reasoning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– Introduction to Sociology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E67D37" w:rsidRDefault="005019E0" w:rsidP="005019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0566F">
        <w:tc>
          <w:tcPr>
            <w:tcW w:w="4402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5019E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E0566F">
        <w:tc>
          <w:tcPr>
            <w:tcW w:w="4402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84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– Introduction to Psychology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5019E0" w:rsidTr="00E0566F">
        <w:tc>
          <w:tcPr>
            <w:tcW w:w="4402" w:type="dxa"/>
          </w:tcPr>
          <w:p w:rsidR="005019E0" w:rsidRPr="00194BA6" w:rsidRDefault="005019E0" w:rsidP="00501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019E0" w:rsidRPr="00E67D37" w:rsidRDefault="005019E0" w:rsidP="005019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019E0" w:rsidRPr="00E67D37" w:rsidRDefault="005019E0" w:rsidP="005019E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0566F">
        <w:tc>
          <w:tcPr>
            <w:tcW w:w="4402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5019E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1100 and lab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rPr>
          <w:trHeight w:val="110"/>
        </w:trPr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SOC 2248  - Critical Analysis of Social Diversity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2271 – Introduction to Social Work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194BA6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0566F" w:rsidRPr="00194BA6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2272 – Human Behavior and Social Environment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292C65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292C65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E0566F" w:rsidRPr="00D42DE8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SOWK/SOC 3308 – Social Methods &amp; Social Work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SOC 1101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194BA6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PSYC 3301 – Abnormal Psychology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  <w:vAlign w:val="bottom"/>
          </w:tcPr>
          <w:p w:rsidR="00E0566F" w:rsidRPr="00BA2629" w:rsidRDefault="00E0566F" w:rsidP="00E05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3372 – Practice with Individuals &amp; Families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3375 – Advanced Social Work Theory &amp; Application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A2629" w:rsidRDefault="00E0566F" w:rsidP="00E0566F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SOC 3309 – Social Statistics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in MATH 1153</w:t>
            </w: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 SOWK, or PSYC course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3373 – Group Work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6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3372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4494 – Community Org &amp; Social Change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Social Welfare Policy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84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 SOWK, or PSYC course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E0566F" w:rsidTr="00E0566F">
        <w:tc>
          <w:tcPr>
            <w:tcW w:w="4402" w:type="dxa"/>
          </w:tcPr>
          <w:p w:rsidR="00E0566F" w:rsidRDefault="00E0566F" w:rsidP="00E056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0566F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E0566F" w:rsidRPr="00E67D37" w:rsidRDefault="00E0566F" w:rsidP="00E05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0566F">
        <w:tc>
          <w:tcPr>
            <w:tcW w:w="4402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0566F" w:rsidTr="00E0566F">
        <w:trPr>
          <w:trHeight w:val="139"/>
        </w:trPr>
        <w:tc>
          <w:tcPr>
            <w:tcW w:w="4402" w:type="dxa"/>
            <w:shd w:val="clear" w:color="auto" w:fill="FFFFFF" w:themeFill="background1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4476 – Social Work Field Practicum 1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SOWK 3308, </w:t>
            </w:r>
            <w:r w:rsidRPr="00542746">
              <w:rPr>
                <w:sz w:val="14"/>
                <w:szCs w:val="14"/>
              </w:rPr>
              <w:t xml:space="preserve">3372, 3373, </w:t>
            </w:r>
            <w:r>
              <w:rPr>
                <w:sz w:val="14"/>
                <w:szCs w:val="14"/>
              </w:rPr>
              <w:t xml:space="preserve">4471 </w:t>
            </w:r>
            <w:r w:rsidRPr="00542746">
              <w:rPr>
                <w:sz w:val="14"/>
                <w:szCs w:val="14"/>
              </w:rPr>
              <w:t xml:space="preserve">&amp; SOC 3309 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C04A5A" w:rsidRDefault="00E0566F" w:rsidP="00E05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E0566F" w:rsidTr="00E0566F">
        <w:tc>
          <w:tcPr>
            <w:tcW w:w="4402" w:type="dxa"/>
            <w:shd w:val="clear" w:color="auto" w:fill="FFFFFF" w:themeFill="background1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4477 – Social Work Field Practicum 2</w:t>
            </w:r>
          </w:p>
        </w:tc>
        <w:tc>
          <w:tcPr>
            <w:tcW w:w="45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  <w:shd w:val="clear" w:color="auto" w:fill="FFFFFF" w:themeFill="background1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 w:rsidRPr="00542746">
              <w:rPr>
                <w:sz w:val="14"/>
                <w:szCs w:val="14"/>
              </w:rPr>
              <w:t xml:space="preserve">SOWK </w:t>
            </w:r>
            <w:r>
              <w:rPr>
                <w:sz w:val="14"/>
                <w:szCs w:val="14"/>
              </w:rPr>
              <w:t xml:space="preserve">3308, </w:t>
            </w:r>
            <w:r w:rsidRPr="00542746">
              <w:rPr>
                <w:sz w:val="14"/>
                <w:szCs w:val="14"/>
              </w:rPr>
              <w:t xml:space="preserve">3372, 3373, </w:t>
            </w:r>
            <w:r>
              <w:rPr>
                <w:sz w:val="14"/>
                <w:szCs w:val="14"/>
              </w:rPr>
              <w:t xml:space="preserve">4471 </w:t>
            </w:r>
            <w:r w:rsidRPr="00542746">
              <w:rPr>
                <w:sz w:val="14"/>
                <w:szCs w:val="14"/>
              </w:rPr>
              <w:t>&amp; SOC 3309</w:t>
            </w:r>
          </w:p>
        </w:tc>
        <w:tc>
          <w:tcPr>
            <w:tcW w:w="1984" w:type="dxa"/>
            <w:shd w:val="clear" w:color="auto" w:fill="FFFFFF" w:themeFill="background1"/>
          </w:tcPr>
          <w:p w:rsidR="00E0566F" w:rsidRPr="00473C19" w:rsidRDefault="00E0566F" w:rsidP="00E056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E0566F" w:rsidTr="00E0566F">
        <w:tc>
          <w:tcPr>
            <w:tcW w:w="4402" w:type="dxa"/>
          </w:tcPr>
          <w:p w:rsidR="00E0566F" w:rsidRPr="00B67A57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4498 – Integration of Social Work Methods</w:t>
            </w:r>
          </w:p>
        </w:tc>
        <w:tc>
          <w:tcPr>
            <w:tcW w:w="45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07" w:type="dxa"/>
          </w:tcPr>
          <w:p w:rsidR="00E0566F" w:rsidRPr="00E67D37" w:rsidRDefault="00E0566F" w:rsidP="00E05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2"/>
          </w:tcPr>
          <w:p w:rsidR="00E0566F" w:rsidRPr="00542746" w:rsidRDefault="00E0566F" w:rsidP="00E0566F">
            <w:pPr>
              <w:pStyle w:val="NoSpacing"/>
              <w:rPr>
                <w:sz w:val="14"/>
                <w:szCs w:val="14"/>
              </w:rPr>
            </w:pPr>
            <w:r w:rsidRPr="00542746">
              <w:rPr>
                <w:sz w:val="14"/>
                <w:szCs w:val="14"/>
              </w:rPr>
              <w:t xml:space="preserve">SOWK 3308, 3371, 3372, 3373, &amp; SOC 3309 </w:t>
            </w:r>
          </w:p>
        </w:tc>
        <w:tc>
          <w:tcPr>
            <w:tcW w:w="1984" w:type="dxa"/>
          </w:tcPr>
          <w:p w:rsidR="00E0566F" w:rsidRPr="00E71323" w:rsidRDefault="00E0566F" w:rsidP="00E0566F">
            <w:pPr>
              <w:pStyle w:val="NoSpacing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F</w:t>
            </w:r>
            <w:r w:rsidRPr="0054274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 spring only: SOWK 4477</w:t>
            </w:r>
          </w:p>
        </w:tc>
      </w:tr>
      <w:tr w:rsidR="001B3F81" w:rsidTr="00E0566F">
        <w:tc>
          <w:tcPr>
            <w:tcW w:w="4402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E0566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E0566F" w:rsidP="00E05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E0566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542746" w:rsidRDefault="00E0566F" w:rsidP="00E056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Admission Requirements:</w:t>
            </w:r>
          </w:p>
        </w:tc>
        <w:tc>
          <w:tcPr>
            <w:tcW w:w="540" w:type="dxa"/>
            <w:shd w:val="clear" w:color="auto" w:fill="auto"/>
          </w:tcPr>
          <w:p w:rsidR="00E0566F" w:rsidRPr="00107075" w:rsidRDefault="00E0566F" w:rsidP="00E0566F">
            <w:pPr>
              <w:jc w:val="center"/>
              <w:rPr>
                <w:b/>
                <w:sz w:val="20"/>
                <w:szCs w:val="20"/>
              </w:rPr>
            </w:pPr>
            <w:r w:rsidRPr="001070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5F40F3"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BIOL 1100 &amp; 1100L – Concepts Biol</w:t>
            </w:r>
            <w:r>
              <w:rPr>
                <w:sz w:val="16"/>
                <w:szCs w:val="16"/>
              </w:rPr>
              <w:t xml:space="preserve">ogy Human Concerns    </w:t>
            </w:r>
            <w:r w:rsidR="00A669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2B6F9E">
              <w:rPr>
                <w:sz w:val="16"/>
                <w:szCs w:val="16"/>
              </w:rPr>
              <w:t>(4 cr. in GE Obj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:rsidTr="00F06978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ENGL 1102 – </w:t>
            </w:r>
            <w:r w:rsidR="00A66977">
              <w:rPr>
                <w:sz w:val="16"/>
                <w:szCs w:val="16"/>
              </w:rPr>
              <w:t xml:space="preserve"> </w:t>
            </w:r>
            <w:r w:rsidR="00A66977">
              <w:rPr>
                <w:sz w:val="16"/>
                <w:szCs w:val="16"/>
              </w:rPr>
              <w:t>Writing and Rhetoric II</w:t>
            </w:r>
            <w:r w:rsidR="00A66977" w:rsidRPr="002B6F9E">
              <w:rPr>
                <w:sz w:val="16"/>
                <w:szCs w:val="16"/>
              </w:rPr>
              <w:t xml:space="preserve"> </w:t>
            </w:r>
            <w:r w:rsidR="00A66977">
              <w:rPr>
                <w:sz w:val="16"/>
                <w:szCs w:val="16"/>
              </w:rPr>
              <w:t xml:space="preserve">                          </w:t>
            </w:r>
            <w:r w:rsidRPr="002B6F9E">
              <w:rPr>
                <w:sz w:val="16"/>
                <w:szCs w:val="16"/>
              </w:rPr>
              <w:t>(3 cr. Counted In GE Obj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8C5D6D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MAT</w:t>
            </w:r>
            <w:r w:rsidR="00A66977">
              <w:rPr>
                <w:sz w:val="16"/>
                <w:szCs w:val="16"/>
              </w:rPr>
              <w:t xml:space="preserve">H 1153 – Statistical Reasoning         </w:t>
            </w:r>
            <w:r>
              <w:rPr>
                <w:sz w:val="16"/>
                <w:szCs w:val="16"/>
              </w:rPr>
              <w:t xml:space="preserve">                   </w:t>
            </w:r>
            <w:r w:rsidR="00A669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2B6F9E">
              <w:rPr>
                <w:sz w:val="16"/>
                <w:szCs w:val="16"/>
              </w:rPr>
              <w:t>(3 cr. counted In GE Obj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0566F" w:rsidRPr="00B60C98" w:rsidTr="00D96F98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PSYC 1101 – Introduction to Ps</w:t>
            </w:r>
            <w:r>
              <w:rPr>
                <w:sz w:val="16"/>
                <w:szCs w:val="16"/>
              </w:rPr>
              <w:t xml:space="preserve">ychology                   </w:t>
            </w:r>
            <w:r w:rsidRPr="002B6F9E">
              <w:rPr>
                <w:sz w:val="16"/>
                <w:szCs w:val="16"/>
              </w:rPr>
              <w:t xml:space="preserve">  (3 cr. Counted In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66F" w:rsidRPr="00B60C98" w:rsidTr="00785C47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SOC 1101 – Introduction to Sociology                     </w:t>
            </w:r>
            <w:r w:rsidR="00A66977"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   (3 cr. Counted in GE Obj.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0566F" w:rsidRPr="00B60C98" w:rsidTr="00026300">
        <w:tc>
          <w:tcPr>
            <w:tcW w:w="5400" w:type="dxa"/>
            <w:gridSpan w:val="2"/>
            <w:shd w:val="clear" w:color="auto" w:fill="auto"/>
          </w:tcPr>
          <w:p w:rsidR="00E0566F" w:rsidRPr="00B60C98" w:rsidRDefault="00E0566F" w:rsidP="00A66977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 xml:space="preserve">SOC 2248 – Critical Analysis of </w:t>
            </w:r>
            <w:r>
              <w:rPr>
                <w:sz w:val="16"/>
                <w:szCs w:val="16"/>
              </w:rPr>
              <w:t xml:space="preserve">Social Diversity       </w:t>
            </w:r>
            <w:r w:rsidR="00A6697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2B6F9E">
              <w:rPr>
                <w:sz w:val="16"/>
                <w:szCs w:val="16"/>
              </w:rPr>
              <w:t>(3 cr. Counted in GE Obj 7)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A66977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2271 – Introduction to Social Work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5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0566F" w:rsidRPr="002B6F9E" w:rsidRDefault="00E0566F" w:rsidP="00A66977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2272 – Human </w:t>
            </w:r>
            <w:r>
              <w:rPr>
                <w:sz w:val="16"/>
                <w:szCs w:val="16"/>
              </w:rPr>
              <w:t>Development and Diversity</w:t>
            </w:r>
          </w:p>
        </w:tc>
        <w:tc>
          <w:tcPr>
            <w:tcW w:w="540" w:type="dxa"/>
            <w:shd w:val="clear" w:color="auto" w:fill="auto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6F" w:rsidRPr="00DA5838" w:rsidRDefault="00E0566F" w:rsidP="00E0566F">
            <w:pPr>
              <w:rPr>
                <w:b/>
                <w:i/>
                <w:sz w:val="20"/>
                <w:szCs w:val="20"/>
              </w:rPr>
            </w:pPr>
            <w:r w:rsidRPr="00DA5838">
              <w:rPr>
                <w:b/>
                <w:i/>
                <w:sz w:val="20"/>
                <w:szCs w:val="20"/>
              </w:rPr>
              <w:t>Major Requirements: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566F" w:rsidRPr="00107075" w:rsidRDefault="00E0566F" w:rsidP="00E056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0566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SOC/SOWK 3308 – Sociological Methods and Social Work Research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3309 – Social Statistics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3372 – Practice </w:t>
            </w:r>
            <w:r>
              <w:rPr>
                <w:sz w:val="16"/>
                <w:szCs w:val="16"/>
              </w:rPr>
              <w:t xml:space="preserve">Interventions </w:t>
            </w:r>
            <w:r w:rsidRPr="002B6F9E">
              <w:rPr>
                <w:sz w:val="16"/>
                <w:szCs w:val="16"/>
              </w:rPr>
              <w:t>with Individuals and Families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3373 – </w:t>
            </w:r>
            <w:r>
              <w:rPr>
                <w:sz w:val="16"/>
                <w:szCs w:val="16"/>
              </w:rPr>
              <w:t xml:space="preserve">Practice Interventions with </w:t>
            </w:r>
            <w:r w:rsidRPr="002B6F9E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>:            SOC 2248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3375 – </w:t>
            </w:r>
            <w:r>
              <w:rPr>
                <w:sz w:val="16"/>
                <w:szCs w:val="16"/>
              </w:rPr>
              <w:t>Application of Contemporary</w:t>
            </w:r>
            <w:r w:rsidRPr="002B6F9E">
              <w:rPr>
                <w:sz w:val="16"/>
                <w:szCs w:val="16"/>
              </w:rPr>
              <w:t xml:space="preserve"> Social Work Theory 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</w:tr>
      <w:tr w:rsidR="00E0566F" w:rsidRPr="00B60C98" w:rsidTr="00E0566F">
        <w:trPr>
          <w:trHeight w:val="316"/>
        </w:trPr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– Social Justice, Advocacy, and Policy Practice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4476 – Social Work Field Practicum 1</w:t>
            </w:r>
            <w:r>
              <w:rPr>
                <w:sz w:val="16"/>
                <w:szCs w:val="16"/>
              </w:rPr>
              <w:t xml:space="preserve"> and Seminar I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4477 – Social Work Field Practicum 2</w:t>
            </w:r>
            <w:r>
              <w:rPr>
                <w:sz w:val="16"/>
                <w:szCs w:val="16"/>
              </w:rPr>
              <w:t xml:space="preserve"> and Seminar II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4494 – </w:t>
            </w:r>
            <w:r>
              <w:rPr>
                <w:sz w:val="16"/>
                <w:szCs w:val="16"/>
              </w:rPr>
              <w:t xml:space="preserve">Practice Interventions </w:t>
            </w:r>
            <w:r w:rsidRPr="00E0566F">
              <w:rPr>
                <w:sz w:val="15"/>
                <w:szCs w:val="15"/>
              </w:rPr>
              <w:t>with Organizations &amp; Communities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</w:p>
        </w:tc>
      </w:tr>
      <w:tr w:rsidR="00E0566F" w:rsidRPr="00B60C98" w:rsidTr="00686401">
        <w:tc>
          <w:tcPr>
            <w:tcW w:w="4860" w:type="dxa"/>
            <w:shd w:val="clear" w:color="auto" w:fill="auto"/>
          </w:tcPr>
          <w:p w:rsidR="00E0566F" w:rsidRPr="002B6F9E" w:rsidRDefault="00E0566F" w:rsidP="00E0566F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4498 – Integration of Social Work </w:t>
            </w:r>
            <w:r>
              <w:rPr>
                <w:sz w:val="16"/>
                <w:szCs w:val="16"/>
              </w:rPr>
              <w:t xml:space="preserve">Practice, </w:t>
            </w:r>
            <w:r w:rsidRPr="00E0566F">
              <w:rPr>
                <w:sz w:val="15"/>
                <w:szCs w:val="15"/>
              </w:rPr>
              <w:t>Theory, and Research</w:t>
            </w:r>
          </w:p>
        </w:tc>
        <w:tc>
          <w:tcPr>
            <w:tcW w:w="540" w:type="dxa"/>
          </w:tcPr>
          <w:p w:rsidR="00E0566F" w:rsidRPr="002B6F9E" w:rsidRDefault="00E0566F" w:rsidP="00E0566F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66F" w:rsidRPr="002C6294" w:rsidRDefault="00E0566F" w:rsidP="00E0566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0566F" w:rsidRPr="002C6294" w:rsidRDefault="00E0566F" w:rsidP="00E056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A1F54" w:rsidRPr="00B60C98" w:rsidTr="00686401">
        <w:tc>
          <w:tcPr>
            <w:tcW w:w="4860" w:type="dxa"/>
            <w:shd w:val="clear" w:color="auto" w:fill="auto"/>
          </w:tcPr>
          <w:p w:rsidR="00DA1F54" w:rsidRPr="002B6F9E" w:rsidRDefault="00DA1F54" w:rsidP="00DA1F54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PSYC 3301 – Abnormal Psychology 1</w:t>
            </w:r>
          </w:p>
        </w:tc>
        <w:tc>
          <w:tcPr>
            <w:tcW w:w="540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A1F54" w:rsidRPr="00B60C98" w:rsidRDefault="00DA1F54" w:rsidP="00DA1F5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DA1F54" w:rsidRPr="00B60C98" w:rsidTr="00686401">
        <w:tc>
          <w:tcPr>
            <w:tcW w:w="4860" w:type="dxa"/>
            <w:shd w:val="clear" w:color="auto" w:fill="auto"/>
          </w:tcPr>
          <w:p w:rsidR="00DA1F54" w:rsidRPr="00DA1F54" w:rsidRDefault="00DA1F54" w:rsidP="00DA1F54">
            <w:pPr>
              <w:rPr>
                <w:i/>
                <w:sz w:val="16"/>
                <w:szCs w:val="16"/>
              </w:rPr>
            </w:pPr>
            <w:r w:rsidRPr="00DA1F54">
              <w:rPr>
                <w:i/>
                <w:sz w:val="16"/>
                <w:szCs w:val="16"/>
              </w:rPr>
              <w:t>Upper-Division SOC,  SOWK, or PSYC courses</w:t>
            </w:r>
          </w:p>
        </w:tc>
        <w:tc>
          <w:tcPr>
            <w:tcW w:w="540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686401">
        <w:tc>
          <w:tcPr>
            <w:tcW w:w="4860" w:type="dxa"/>
            <w:shd w:val="clear" w:color="auto" w:fill="auto"/>
          </w:tcPr>
          <w:p w:rsidR="00DA1F54" w:rsidRPr="00DA1F54" w:rsidRDefault="00DA1F54" w:rsidP="00DA1F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</w:tcPr>
          <w:p w:rsidR="00DA1F54" w:rsidRPr="002B6F9E" w:rsidRDefault="00DA1F54" w:rsidP="00DA1F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66F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E0566F" w:rsidP="00E0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0566F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E0566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0566F" w:rsidP="006864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</w:t>
            </w:r>
            <w:r w:rsidRPr="006E3CE2">
              <w:rPr>
                <w:sz w:val="16"/>
                <w:szCs w:val="16"/>
              </w:rPr>
              <w:t>tudents must obtain a “C” or be</w:t>
            </w:r>
            <w:r>
              <w:rPr>
                <w:sz w:val="16"/>
                <w:szCs w:val="16"/>
              </w:rPr>
              <w:t>tter in Admission Requirements.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5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66F" w:rsidRPr="006E3CE2" w:rsidRDefault="00E0566F" w:rsidP="00E05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application, $30 fee, typed</w:t>
            </w:r>
            <w:r>
              <w:rPr>
                <w:sz w:val="16"/>
                <w:szCs w:val="18"/>
              </w:rPr>
              <w:t xml:space="preserve">, </w:t>
            </w:r>
            <w:r w:rsidRPr="006E3CE2">
              <w:rPr>
                <w:sz w:val="16"/>
                <w:szCs w:val="16"/>
              </w:rPr>
              <w:t xml:space="preserve">statement, and </w:t>
            </w:r>
            <w:r w:rsidRPr="006E3CE2">
              <w:rPr>
                <w:sz w:val="16"/>
                <w:szCs w:val="18"/>
              </w:rPr>
              <w:t>background</w:t>
            </w:r>
            <w:r>
              <w:rPr>
                <w:sz w:val="16"/>
                <w:szCs w:val="16"/>
              </w:rPr>
              <w:t xml:space="preserve"> check.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566F" w:rsidRPr="00B60C98" w:rsidRDefault="00E0566F" w:rsidP="00E05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566F" w:rsidRPr="00B60C98" w:rsidRDefault="00E0566F" w:rsidP="00E0566F">
            <w:pPr>
              <w:rPr>
                <w:sz w:val="20"/>
                <w:szCs w:val="20"/>
              </w:rPr>
            </w:pPr>
          </w:p>
        </w:tc>
      </w:tr>
      <w:tr w:rsidR="00DA1F54" w:rsidRPr="00B60C98" w:rsidTr="00BD48A7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1F54" w:rsidRPr="006E3CE2" w:rsidRDefault="00DA1F54" w:rsidP="00DA1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Admission to senior field courses (SOWK 4476-4477) contingent on: completion </w:t>
            </w:r>
            <w:r w:rsidRPr="006E3CE2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SOC/SOWK 3308, </w:t>
            </w:r>
            <w:r w:rsidRPr="006E3CE2">
              <w:rPr>
                <w:sz w:val="16"/>
                <w:szCs w:val="16"/>
              </w:rPr>
              <w:t xml:space="preserve">SOWK 3372, SOWK 3373, 4471 and SOC 3309; Maintenance of 2.75 GPA to senior year. Submit Form for senior field experience. </w:t>
            </w:r>
            <w:r>
              <w:rPr>
                <w:sz w:val="16"/>
                <w:szCs w:val="16"/>
              </w:rPr>
              <w:t xml:space="preserve">Interview by senior field placement coordinator prior. 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F54" w:rsidRPr="00B60C98" w:rsidRDefault="00DA1F54" w:rsidP="00DA1F5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6.26.2019 kf</w:t>
            </w:r>
          </w:p>
        </w:tc>
      </w:tr>
      <w:tr w:rsidR="00DA1F54" w:rsidRPr="00B60C98" w:rsidTr="00BD48A7">
        <w:tc>
          <w:tcPr>
            <w:tcW w:w="5400" w:type="dxa"/>
            <w:gridSpan w:val="2"/>
            <w:vMerge/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A1F54" w:rsidRPr="00B60C98" w:rsidRDefault="00DA1F54" w:rsidP="00DA1F5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BD48A7">
        <w:trPr>
          <w:trHeight w:val="1231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A1F54" w:rsidRPr="004C0486" w:rsidRDefault="00DA1F54" w:rsidP="00DA1F5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A1F54" w:rsidRDefault="00DA1F54" w:rsidP="00DA1F5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DA1F54" w:rsidRPr="004C0486" w:rsidRDefault="00DA1F54" w:rsidP="00DA1F5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A1F5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  <w:tr w:rsidR="00DA1F5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54" w:rsidRPr="001F656B" w:rsidRDefault="00DA1F54" w:rsidP="00DA1F5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F54" w:rsidRPr="00521695" w:rsidRDefault="00DA1F54" w:rsidP="00DA1F5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6.24.2019</w:t>
            </w:r>
          </w:p>
          <w:p w:rsidR="00DA1F54" w:rsidRPr="00B60C98" w:rsidRDefault="00DA1F54" w:rsidP="00DA1F5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0566F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BA, Social Work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A0" w:rsidRDefault="003B5DA0" w:rsidP="008518ED">
      <w:pPr>
        <w:spacing w:after="0" w:line="240" w:lineRule="auto"/>
      </w:pPr>
      <w:r>
        <w:separator/>
      </w:r>
    </w:p>
  </w:endnote>
  <w:endnote w:type="continuationSeparator" w:id="0">
    <w:p w:rsidR="003B5DA0" w:rsidRDefault="003B5DA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A0" w:rsidRDefault="003B5DA0" w:rsidP="008518ED">
      <w:pPr>
        <w:spacing w:after="0" w:line="240" w:lineRule="auto"/>
      </w:pPr>
      <w:r>
        <w:separator/>
      </w:r>
    </w:p>
  </w:footnote>
  <w:footnote w:type="continuationSeparator" w:id="0">
    <w:p w:rsidR="003B5DA0" w:rsidRDefault="003B5DA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19E0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6977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1F54"/>
    <w:rsid w:val="00DB202D"/>
    <w:rsid w:val="00DC4E37"/>
    <w:rsid w:val="00DC6C24"/>
    <w:rsid w:val="00DD67D4"/>
    <w:rsid w:val="00DF097F"/>
    <w:rsid w:val="00E0566F"/>
    <w:rsid w:val="00E14260"/>
    <w:rsid w:val="00E67D37"/>
    <w:rsid w:val="00E71323"/>
    <w:rsid w:val="00E725D8"/>
    <w:rsid w:val="00E7707A"/>
    <w:rsid w:val="00E80337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3C5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DECC-6065-4B9B-ADE3-58F26508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2019-06-07T15:50:00Z</cp:lastPrinted>
  <dcterms:created xsi:type="dcterms:W3CDTF">2019-06-26T15:10:00Z</dcterms:created>
  <dcterms:modified xsi:type="dcterms:W3CDTF">2019-06-26T15:10:00Z</dcterms:modified>
</cp:coreProperties>
</file>