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Catalog Year </w:t>
                            </w:r>
                            <w:r w:rsidR="004F5667">
                              <w:rPr>
                                <w:b/>
                                <w:sz w:val="32"/>
                                <w:szCs w:val="32"/>
                              </w:rPr>
                              <w:t>2018-2019</w:t>
                            </w:r>
                          </w:p>
                          <w:p w:rsidR="00DD67D4" w:rsidRPr="00DD67D4" w:rsidRDefault="00ED19D3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ATC</w:t>
                            </w:r>
                            <w:bookmarkStart w:id="0" w:name="_GoBack"/>
                            <w:bookmarkEnd w:id="0"/>
                            <w:r w:rsidR="004F566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F5667">
                              <w:rPr>
                                <w:sz w:val="28"/>
                                <w:szCs w:val="28"/>
                              </w:rPr>
                              <w:t>Powerplant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 xml:space="preserve">Catalog Year </w:t>
                      </w:r>
                      <w:r w:rsidR="004F5667">
                        <w:rPr>
                          <w:b/>
                          <w:sz w:val="32"/>
                          <w:szCs w:val="32"/>
                        </w:rPr>
                        <w:t>2018-2019</w:t>
                      </w:r>
                    </w:p>
                    <w:p w:rsidR="00DD67D4" w:rsidRPr="00DD67D4" w:rsidRDefault="00ED19D3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ATC</w:t>
                      </w:r>
                      <w:bookmarkStart w:id="1" w:name="_GoBack"/>
                      <w:bookmarkEnd w:id="1"/>
                      <w:r w:rsidR="004F566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F5667">
                        <w:rPr>
                          <w:sz w:val="28"/>
                          <w:szCs w:val="28"/>
                        </w:rPr>
                        <w:t>Powerplant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4F5667">
        <w:tc>
          <w:tcPr>
            <w:tcW w:w="404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4F5667" w:rsidTr="004F5667">
        <w:tc>
          <w:tcPr>
            <w:tcW w:w="4045" w:type="dxa"/>
          </w:tcPr>
          <w:p w:rsidR="004F5667" w:rsidRPr="00E67D3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E67D3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E67D3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Default="004F5667" w:rsidP="004F56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383" w:type="dxa"/>
            <w:vAlign w:val="center"/>
          </w:tcPr>
          <w:p w:rsidR="004F566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4F5667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0844A5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383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292C65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383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292C65" w:rsidRDefault="004F5667" w:rsidP="004F5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292C65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383" w:type="dxa"/>
            <w:vAlign w:val="center"/>
          </w:tcPr>
          <w:p w:rsidR="004F566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292C65" w:rsidRDefault="004F5667" w:rsidP="004F56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0844A5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rPr>
          <w:trHeight w:val="110"/>
        </w:trPr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4F5667" w:rsidRPr="004F5667" w:rsidRDefault="000844A5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194BA6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Pr="00292C65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0844A5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292C65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D42DE8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4F5667" w:rsidRPr="00292C65" w:rsidRDefault="004F5667" w:rsidP="004F566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4F5667" w:rsidTr="00803FD2">
        <w:tc>
          <w:tcPr>
            <w:tcW w:w="4045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  <w:shd w:val="clear" w:color="auto" w:fill="FFFFFF" w:themeFill="background1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0222: </w:t>
            </w:r>
            <w:proofErr w:type="spellStart"/>
            <w:r>
              <w:rPr>
                <w:sz w:val="16"/>
                <w:szCs w:val="16"/>
              </w:rPr>
              <w:t>Adv</w:t>
            </w:r>
            <w:proofErr w:type="spellEnd"/>
            <w:r>
              <w:rPr>
                <w:sz w:val="16"/>
                <w:szCs w:val="16"/>
              </w:rPr>
              <w:t xml:space="preserve"> Reciprocating Engine Inspect &amp; </w:t>
            </w:r>
            <w:proofErr w:type="spellStart"/>
            <w:r>
              <w:rPr>
                <w:sz w:val="16"/>
                <w:szCs w:val="16"/>
              </w:rPr>
              <w:t>Mainten</w:t>
            </w:r>
            <w:proofErr w:type="spellEnd"/>
          </w:p>
        </w:tc>
        <w:tc>
          <w:tcPr>
            <w:tcW w:w="383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4F5667" w:rsidRPr="00E67D37" w:rsidRDefault="004F5667" w:rsidP="004F5667">
            <w:pPr>
              <w:pStyle w:val="NoSpacing"/>
              <w:rPr>
                <w:sz w:val="16"/>
                <w:szCs w:val="16"/>
              </w:rPr>
            </w:pPr>
          </w:p>
        </w:tc>
      </w:tr>
      <w:tr w:rsidR="004F5667" w:rsidTr="00803FD2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0228: Engine Ignition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803FD2">
        <w:tc>
          <w:tcPr>
            <w:tcW w:w="4045" w:type="dxa"/>
          </w:tcPr>
          <w:p w:rsidR="004F5667" w:rsidRPr="00194BA6" w:rsidRDefault="004F5667" w:rsidP="004F566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383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F5667" w:rsidRPr="00194BA6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4F5667">
        <w:tc>
          <w:tcPr>
            <w:tcW w:w="4045" w:type="dxa"/>
            <w:shd w:val="clear" w:color="auto" w:fill="F2F2F2" w:themeFill="background1" w:themeFillShade="F2"/>
          </w:tcPr>
          <w:p w:rsidR="004F5667" w:rsidRPr="00BA2629" w:rsidRDefault="004F5667" w:rsidP="004F5667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4F5667" w:rsidRPr="004F5667" w:rsidRDefault="000844A5" w:rsidP="004F566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4F566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4F5667" w:rsidRPr="00E67D37" w:rsidRDefault="004F5667" w:rsidP="004F566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</w:p>
        </w:tc>
      </w:tr>
      <w:tr w:rsidR="004F5667" w:rsidTr="00CF321F">
        <w:tc>
          <w:tcPr>
            <w:tcW w:w="11178" w:type="dxa"/>
            <w:gridSpan w:val="7"/>
          </w:tcPr>
          <w:p w:rsidR="004F5667" w:rsidRPr="00943870" w:rsidRDefault="004F5667" w:rsidP="004F5667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F5667" w:rsidRDefault="004F5667" w:rsidP="004F5667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4F5667" w:rsidRPr="00C04A5A" w:rsidRDefault="004F5667" w:rsidP="004F566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EB5457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EB5457" w:rsidRPr="00B60C98" w:rsidRDefault="00EB5457" w:rsidP="00EB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B5457" w:rsidRDefault="000844A5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</w:t>
            </w:r>
            <w:r w:rsidR="00EB5457">
              <w:rPr>
                <w:b/>
                <w:sz w:val="18"/>
                <w:szCs w:val="18"/>
              </w:rPr>
              <w:t>Cr.</w:t>
            </w:r>
          </w:p>
          <w:p w:rsidR="00EB5457" w:rsidRPr="00B60C98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EB5457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EB5457" w:rsidRPr="00D451FC" w:rsidRDefault="00EB5457" w:rsidP="00EB5457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EB5457" w:rsidRPr="00B70CB3" w:rsidRDefault="00B70CB3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Pr="00E67D3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194BA6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E67D3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14" w:type="dxa"/>
            <w:vAlign w:val="center"/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>
              <w:rPr>
                <w:sz w:val="18"/>
                <w:szCs w:val="18"/>
              </w:rPr>
              <w:t>.</w:t>
            </w: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807CA5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807CA5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7"/>
        </w:trPr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614" w:type="dxa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614" w:type="dxa"/>
            <w:vAlign w:val="center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>
              <w:rPr>
                <w:sz w:val="18"/>
                <w:szCs w:val="18"/>
              </w:rPr>
              <w:t xml:space="preserve">                       </w:t>
            </w:r>
            <w:r w:rsidRPr="00B60C98">
              <w:rPr>
                <w:sz w:val="18"/>
                <w:szCs w:val="18"/>
              </w:rPr>
              <w:t xml:space="preserve">  </w:t>
            </w:r>
            <w:r w:rsidRPr="00812DB5">
              <w:rPr>
                <w:b/>
                <w:sz w:val="16"/>
                <w:szCs w:val="16"/>
              </w:rPr>
              <w:t>(1 Course including a lab; 4 cr</w:t>
            </w:r>
            <w:r>
              <w:rPr>
                <w:b/>
                <w:sz w:val="16"/>
                <w:szCs w:val="16"/>
              </w:rPr>
              <w:t>.</w:t>
            </w:r>
            <w:r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EB5457" w:rsidRPr="00B60C98" w:rsidTr="00B16733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614" w:type="dxa"/>
            <w:vAlign w:val="center"/>
          </w:tcPr>
          <w:p w:rsidR="00EB5457" w:rsidRPr="00A94BA2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B5457" w:rsidRPr="00A94BA2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0113: Rigging and Inspections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>
              <w:rPr>
                <w:sz w:val="18"/>
                <w:szCs w:val="18"/>
              </w:rPr>
              <w:t xml:space="preserve">Behavioral and Social Science  </w:t>
            </w:r>
            <w:r>
              <w:rPr>
                <w:b/>
                <w:sz w:val="16"/>
                <w:szCs w:val="16"/>
              </w:rPr>
              <w:t>(1 course;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94BA6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Communications, and Navigation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EB5457" w:rsidRPr="005D53FC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EB5457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614" w:type="dxa"/>
          </w:tcPr>
          <w:p w:rsidR="00EB5457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1C535C" w:rsidRDefault="00EB5457" w:rsidP="00EB5457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0221: Reciprocating Engine Theory and Practice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0222: Advanced Reciprocating Engine Inspection and Practice</w:t>
            </w:r>
          </w:p>
        </w:tc>
        <w:tc>
          <w:tcPr>
            <w:tcW w:w="614" w:type="dxa"/>
            <w:shd w:val="clear" w:color="auto" w:fill="auto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0223: Basic Turbine Engines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0224: Advanced Turbine Engines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0225: </w:t>
            </w:r>
            <w:proofErr w:type="spellStart"/>
            <w:r>
              <w:rPr>
                <w:sz w:val="16"/>
                <w:szCs w:val="16"/>
              </w:rPr>
              <w:t>Powerplant</w:t>
            </w:r>
            <w:proofErr w:type="spellEnd"/>
            <w:r>
              <w:rPr>
                <w:sz w:val="16"/>
                <w:szCs w:val="16"/>
              </w:rPr>
              <w:t xml:space="preserve"> Lubrication Systems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FA72C0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B60C98" w:rsidRDefault="00EB5457" w:rsidP="00EB5457">
            <w:pPr>
              <w:jc w:val="right"/>
              <w:rPr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0227: Engine Fuel Metering Systems</w:t>
            </w:r>
          </w:p>
        </w:tc>
        <w:tc>
          <w:tcPr>
            <w:tcW w:w="614" w:type="dxa"/>
          </w:tcPr>
          <w:p w:rsidR="00EB5457" w:rsidRPr="00FA72C0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 w:rsidRPr="00FA72C0">
              <w:rPr>
                <w:caps/>
                <w:sz w:val="16"/>
                <w:szCs w:val="16"/>
              </w:rPr>
              <w:t>AIRM</w:t>
            </w:r>
            <w:r>
              <w:rPr>
                <w:caps/>
                <w:sz w:val="16"/>
                <w:szCs w:val="16"/>
              </w:rPr>
              <w:t xml:space="preserve"> 0228: </w:t>
            </w:r>
            <w:r>
              <w:rPr>
                <w:sz w:val="16"/>
                <w:szCs w:val="16"/>
              </w:rPr>
              <w:t>Engine Ignition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2F5FB1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B5457" w:rsidRPr="002C6294" w:rsidRDefault="00EB5457" w:rsidP="00EB5457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EB5457" w:rsidRPr="002C6294" w:rsidRDefault="000844A5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0229: Engine Electrical and Instrument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 w:rsidRPr="00E845BA"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EB5457" w:rsidRPr="002C6294" w:rsidRDefault="00EB5457" w:rsidP="00EB5457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3356C4" w:rsidRDefault="00EB5457" w:rsidP="00EB5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0230: Propeller Systems</w:t>
            </w:r>
          </w:p>
        </w:tc>
        <w:tc>
          <w:tcPr>
            <w:tcW w:w="614" w:type="dxa"/>
          </w:tcPr>
          <w:p w:rsidR="00EB5457" w:rsidRPr="00E845BA" w:rsidRDefault="00EB5457" w:rsidP="00EB54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EB5457" w:rsidRDefault="00EB5457" w:rsidP="00EB5457">
            <w:pPr>
              <w:rPr>
                <w:sz w:val="18"/>
                <w:szCs w:val="18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B70CB3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0844A5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B5457" w:rsidRPr="00B70CB3" w:rsidRDefault="000844A5" w:rsidP="00EB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EB5457" w:rsidP="004F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08/02/2018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44A5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406F"/>
    <w:rsid w:val="004F5667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83595"/>
    <w:rsid w:val="00A94A30"/>
    <w:rsid w:val="00AA1DB7"/>
    <w:rsid w:val="00AB7151"/>
    <w:rsid w:val="00AC15BC"/>
    <w:rsid w:val="00AC5A04"/>
    <w:rsid w:val="00B60C98"/>
    <w:rsid w:val="00B61C40"/>
    <w:rsid w:val="00B67A57"/>
    <w:rsid w:val="00B70CB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B5457"/>
    <w:rsid w:val="00ED19D3"/>
    <w:rsid w:val="00F02567"/>
    <w:rsid w:val="00F5131F"/>
    <w:rsid w:val="00F74EE3"/>
    <w:rsid w:val="00F84E02"/>
    <w:rsid w:val="00F859C0"/>
    <w:rsid w:val="00F93C7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5</cp:revision>
  <cp:lastPrinted>2018-01-24T18:36:00Z</cp:lastPrinted>
  <dcterms:created xsi:type="dcterms:W3CDTF">2018-08-06T15:16:00Z</dcterms:created>
  <dcterms:modified xsi:type="dcterms:W3CDTF">2018-08-06T18:28:00Z</dcterms:modified>
</cp:coreProperties>
</file>